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588" w:rightChars="-280"/>
        <w:rPr>
          <w:rFonts w:eastAsia="黑体"/>
          <w:bCs/>
          <w:sz w:val="48"/>
        </w:rPr>
      </w:pPr>
      <w:r>
        <w:rPr>
          <w:sz w:val="24"/>
        </w:rPr>
        <w:t xml:space="preserve"> </w:t>
      </w:r>
    </w:p>
    <w:p>
      <w:pPr>
        <w:spacing w:line="360" w:lineRule="auto"/>
        <w:ind w:right="-588" w:rightChars="-280"/>
        <w:rPr>
          <w:rFonts w:eastAsia="黑体"/>
          <w:b/>
          <w:sz w:val="48"/>
        </w:rPr>
      </w:pPr>
      <w:r>
        <w:drawing>
          <wp:anchor distT="0" distB="0" distL="114300" distR="114300" simplePos="0" relativeHeight="251667456" behindDoc="0" locked="0" layoutInCell="1" allowOverlap="1">
            <wp:simplePos x="0" y="0"/>
            <wp:positionH relativeFrom="column">
              <wp:posOffset>2340610</wp:posOffset>
            </wp:positionH>
            <wp:positionV relativeFrom="paragraph">
              <wp:posOffset>374650</wp:posOffset>
            </wp:positionV>
            <wp:extent cx="1295400" cy="548640"/>
            <wp:effectExtent l="0" t="0" r="0" b="3810"/>
            <wp:wrapNone/>
            <wp:docPr id="6" name="图片 6" descr="C-SUN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SUN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95400" cy="548640"/>
                    </a:xfrm>
                    <a:prstGeom prst="rect">
                      <a:avLst/>
                    </a:prstGeom>
                    <a:noFill/>
                  </pic:spPr>
                </pic:pic>
              </a:graphicData>
            </a:graphic>
          </wp:anchor>
        </w:drawing>
      </w:r>
    </w:p>
    <w:p>
      <w:pPr>
        <w:spacing w:line="360" w:lineRule="auto"/>
        <w:ind w:right="-588" w:rightChars="-280"/>
        <w:rPr>
          <w:rFonts w:eastAsia="黑体"/>
          <w:b/>
          <w:sz w:val="48"/>
        </w:rPr>
      </w:pPr>
    </w:p>
    <w:p>
      <w:pPr>
        <w:jc w:val="center"/>
        <w:rPr>
          <w:rFonts w:eastAsiaTheme="majorEastAsia"/>
          <w:b/>
          <w:bCs/>
          <w:sz w:val="52"/>
          <w:szCs w:val="44"/>
        </w:rPr>
      </w:pPr>
      <w:r>
        <w:rPr>
          <w:rFonts w:eastAsiaTheme="majorEastAsia"/>
          <w:b/>
          <w:bCs/>
          <w:sz w:val="40"/>
          <w:szCs w:val="44"/>
        </w:rPr>
        <w:t>深圳市中盛认证有限公司</w:t>
      </w:r>
    </w:p>
    <w:p>
      <w:pPr>
        <w:spacing w:line="360" w:lineRule="exact"/>
        <w:jc w:val="center"/>
        <w:rPr>
          <w:rFonts w:eastAsia="华文仿宋"/>
          <w:b/>
          <w:bCs/>
          <w:sz w:val="32"/>
          <w:szCs w:val="32"/>
        </w:rPr>
      </w:pPr>
      <w:r>
        <w:rPr>
          <w:rFonts w:eastAsia="华文仿宋"/>
          <w:b/>
          <w:bCs/>
          <w:sz w:val="24"/>
          <w:szCs w:val="32"/>
        </w:rPr>
        <w:t>Shenzhen City ZhongSheng Certification Co.，Ltd</w:t>
      </w:r>
    </w:p>
    <w:p>
      <w:pPr>
        <w:spacing w:line="240" w:lineRule="exact"/>
        <w:jc w:val="center"/>
        <w:rPr>
          <w:rFonts w:eastAsia="华文仿宋"/>
          <w:color w:val="000000"/>
          <w:sz w:val="24"/>
        </w:rPr>
      </w:pPr>
    </w:p>
    <w:p>
      <w:pPr>
        <w:spacing w:line="440" w:lineRule="exact"/>
        <w:jc w:val="center"/>
        <w:rPr>
          <w:rFonts w:eastAsia="华文仿宋"/>
          <w:b/>
          <w:bCs/>
          <w:color w:val="000000"/>
          <w:sz w:val="52"/>
          <w:szCs w:val="52"/>
        </w:rPr>
      </w:pPr>
    </w:p>
    <w:p>
      <w:pPr>
        <w:spacing w:line="700" w:lineRule="exact"/>
        <w:jc w:val="center"/>
        <w:rPr>
          <w:rFonts w:eastAsiaTheme="majorEastAsia"/>
          <w:b/>
          <w:bCs/>
          <w:color w:val="000000"/>
          <w:sz w:val="44"/>
          <w:szCs w:val="36"/>
        </w:rPr>
      </w:pPr>
      <w:r>
        <w:rPr>
          <w:rFonts w:eastAsiaTheme="majorEastAsia"/>
          <w:b/>
          <w:bCs/>
          <w:color w:val="000000"/>
          <w:sz w:val="48"/>
          <w:szCs w:val="36"/>
        </w:rPr>
        <w:t>管理体系认证公开文件</w:t>
      </w:r>
    </w:p>
    <w:p>
      <w:pPr>
        <w:spacing w:line="440" w:lineRule="exact"/>
        <w:rPr>
          <w:rFonts w:eastAsiaTheme="majorEastAsia"/>
          <w:b/>
          <w:bCs/>
          <w:color w:val="000000"/>
          <w:sz w:val="32"/>
          <w:szCs w:val="32"/>
        </w:rPr>
      </w:pPr>
    </w:p>
    <w:p>
      <w:pPr>
        <w:spacing w:line="440" w:lineRule="exact"/>
        <w:ind w:left="3543" w:leftChars="1687"/>
        <w:rPr>
          <w:rFonts w:hint="default" w:eastAsiaTheme="majorEastAsia"/>
          <w:color w:val="000000"/>
          <w:sz w:val="30"/>
          <w:szCs w:val="30"/>
          <w:lang w:val="en-US" w:eastAsia="zh-CN"/>
        </w:rPr>
      </w:pPr>
      <w:r>
        <w:rPr>
          <w:rFonts w:eastAsiaTheme="majorEastAsia"/>
          <w:color w:val="000000"/>
          <w:sz w:val="30"/>
          <w:szCs w:val="30"/>
        </w:rPr>
        <w:t>文件编号：ZS-GK-01</w:t>
      </w:r>
      <w:r>
        <w:rPr>
          <w:rFonts w:hint="eastAsia" w:eastAsiaTheme="majorEastAsia"/>
          <w:color w:val="000000"/>
          <w:sz w:val="30"/>
          <w:szCs w:val="30"/>
          <w:lang w:val="en-US" w:eastAsia="zh-CN"/>
        </w:rPr>
        <w:t>-2024</w:t>
      </w:r>
    </w:p>
    <w:p>
      <w:pPr>
        <w:spacing w:line="440" w:lineRule="exact"/>
        <w:ind w:left="3543" w:leftChars="1687"/>
        <w:rPr>
          <w:rFonts w:hint="eastAsia" w:eastAsiaTheme="majorEastAsia"/>
          <w:color w:val="000000"/>
          <w:sz w:val="30"/>
          <w:szCs w:val="30"/>
          <w:lang w:eastAsia="zh-CN"/>
        </w:rPr>
      </w:pPr>
      <w:r>
        <w:rPr>
          <w:rFonts w:eastAsiaTheme="majorEastAsia"/>
          <w:color w:val="000000"/>
          <w:sz w:val="30"/>
          <w:szCs w:val="30"/>
        </w:rPr>
        <w:t xml:space="preserve">版    次： </w:t>
      </w:r>
      <w:r>
        <w:rPr>
          <w:rFonts w:hint="eastAsia" w:eastAsiaTheme="majorEastAsia"/>
          <w:color w:val="000000"/>
          <w:sz w:val="30"/>
          <w:szCs w:val="30"/>
          <w:lang w:val="en-US" w:eastAsia="zh-CN"/>
        </w:rPr>
        <w:t>C</w:t>
      </w:r>
      <w:r>
        <w:rPr>
          <w:rFonts w:eastAsiaTheme="majorEastAsia"/>
          <w:color w:val="000000"/>
          <w:sz w:val="30"/>
          <w:szCs w:val="30"/>
        </w:rPr>
        <w:t>/</w:t>
      </w:r>
      <w:r>
        <w:rPr>
          <w:rFonts w:hint="eastAsia" w:eastAsiaTheme="majorEastAsia"/>
          <w:color w:val="000000"/>
          <w:sz w:val="30"/>
          <w:szCs w:val="30"/>
          <w:lang w:val="en-US" w:eastAsia="zh-CN"/>
        </w:rPr>
        <w:t>1</w:t>
      </w:r>
    </w:p>
    <w:p>
      <w:pPr>
        <w:spacing w:line="440" w:lineRule="exact"/>
        <w:ind w:left="3543" w:leftChars="1687"/>
        <w:rPr>
          <w:rFonts w:eastAsiaTheme="majorEastAsia"/>
          <w:color w:val="000000"/>
          <w:spacing w:val="-10"/>
          <w:sz w:val="30"/>
          <w:szCs w:val="30"/>
        </w:rPr>
      </w:pPr>
      <w:r>
        <w:rPr>
          <w:rFonts w:eastAsiaTheme="majorEastAsia"/>
          <w:color w:val="000000"/>
          <w:spacing w:val="-10"/>
          <w:sz w:val="30"/>
          <w:szCs w:val="30"/>
        </w:rPr>
        <w:t xml:space="preserve">页     数： 共 </w:t>
      </w:r>
      <w:r>
        <w:rPr>
          <w:rFonts w:hint="eastAsia" w:eastAsiaTheme="majorEastAsia"/>
          <w:color w:val="000000"/>
          <w:spacing w:val="-10"/>
          <w:sz w:val="30"/>
          <w:szCs w:val="30"/>
          <w:lang w:val="en-US" w:eastAsia="zh-CN"/>
        </w:rPr>
        <w:t>21</w:t>
      </w:r>
      <w:r>
        <w:rPr>
          <w:rFonts w:eastAsiaTheme="majorEastAsia"/>
          <w:color w:val="000000"/>
          <w:spacing w:val="-10"/>
          <w:sz w:val="30"/>
          <w:szCs w:val="30"/>
        </w:rPr>
        <w:t>页</w:t>
      </w:r>
    </w:p>
    <w:p>
      <w:pPr>
        <w:tabs>
          <w:tab w:val="left" w:pos="6762"/>
        </w:tabs>
        <w:spacing w:line="440" w:lineRule="exact"/>
        <w:ind w:firstLine="1920" w:firstLineChars="600"/>
        <w:jc w:val="left"/>
        <w:rPr>
          <w:rFonts w:hint="eastAsia" w:eastAsiaTheme="majorEastAsia"/>
          <w:color w:val="000000"/>
          <w:sz w:val="32"/>
          <w:szCs w:val="32"/>
          <w:lang w:eastAsia="zh-CN"/>
        </w:rPr>
      </w:pPr>
      <w:r>
        <w:rPr>
          <w:rFonts w:hint="eastAsia" w:eastAsiaTheme="majorEastAsia"/>
          <w:color w:val="000000"/>
          <w:sz w:val="32"/>
          <w:szCs w:val="32"/>
          <w:lang w:eastAsia="zh-CN"/>
        </w:rPr>
        <w:tab/>
      </w:r>
    </w:p>
    <w:p>
      <w:pPr>
        <w:spacing w:line="440" w:lineRule="exact"/>
        <w:ind w:firstLine="1920" w:firstLineChars="600"/>
        <w:jc w:val="center"/>
        <w:rPr>
          <w:rFonts w:eastAsiaTheme="majorEastAsia"/>
          <w:color w:val="000000"/>
          <w:sz w:val="32"/>
          <w:szCs w:val="32"/>
        </w:rPr>
      </w:pPr>
    </w:p>
    <w:p>
      <w:pPr>
        <w:spacing w:line="440" w:lineRule="exact"/>
        <w:ind w:firstLine="1920" w:firstLineChars="600"/>
        <w:jc w:val="center"/>
        <w:rPr>
          <w:rFonts w:eastAsiaTheme="majorEastAsia"/>
          <w:color w:val="000000"/>
          <w:sz w:val="32"/>
          <w:szCs w:val="32"/>
        </w:rPr>
      </w:pPr>
    </w:p>
    <w:p>
      <w:pPr>
        <w:spacing w:line="440" w:lineRule="exact"/>
        <w:ind w:firstLine="1920" w:firstLineChars="600"/>
        <w:jc w:val="center"/>
        <w:rPr>
          <w:rFonts w:eastAsiaTheme="majorEastAsia"/>
          <w:color w:val="000000"/>
          <w:sz w:val="32"/>
          <w:szCs w:val="32"/>
        </w:rPr>
      </w:pPr>
    </w:p>
    <w:p>
      <w:pPr>
        <w:spacing w:line="440" w:lineRule="exact"/>
        <w:ind w:firstLine="2550" w:firstLineChars="850"/>
        <w:jc w:val="left"/>
        <w:rPr>
          <w:rFonts w:hint="default" w:eastAsiaTheme="majorEastAsia"/>
          <w:color w:val="000000"/>
          <w:sz w:val="30"/>
          <w:szCs w:val="30"/>
          <w:lang w:val="en-US" w:eastAsia="zh-CN"/>
        </w:rPr>
      </w:pPr>
      <w:r>
        <w:rPr>
          <w:rFonts w:eastAsiaTheme="majorEastAsia"/>
          <w:color w:val="000000"/>
          <w:sz w:val="30"/>
          <w:szCs w:val="30"/>
        </w:rPr>
        <w:t>编  制：</w:t>
      </w:r>
      <w:r>
        <w:rPr>
          <w:rFonts w:hint="eastAsia" w:eastAsiaTheme="majorEastAsia"/>
          <w:color w:val="000000"/>
          <w:sz w:val="30"/>
          <w:szCs w:val="30"/>
          <w:lang w:val="en-US" w:eastAsia="zh-CN"/>
        </w:rPr>
        <w:t>赵楠楠</w:t>
      </w:r>
      <w:r>
        <w:rPr>
          <w:rFonts w:eastAsiaTheme="majorEastAsia"/>
          <w:color w:val="000000"/>
          <w:sz w:val="30"/>
          <w:szCs w:val="30"/>
        </w:rPr>
        <w:t xml:space="preserve">    </w:t>
      </w:r>
      <w:r>
        <w:rPr>
          <w:rFonts w:hint="eastAsia" w:eastAsiaTheme="majorEastAsia"/>
          <w:color w:val="000000"/>
          <w:sz w:val="30"/>
          <w:szCs w:val="30"/>
          <w:lang w:val="en-US" w:eastAsia="zh-CN"/>
        </w:rPr>
        <w:t xml:space="preserve">  </w:t>
      </w:r>
      <w:r>
        <w:rPr>
          <w:rFonts w:eastAsiaTheme="majorEastAsia"/>
          <w:color w:val="000000"/>
          <w:sz w:val="30"/>
          <w:szCs w:val="30"/>
        </w:rPr>
        <w:t>日  期：</w:t>
      </w:r>
      <w:r>
        <w:rPr>
          <w:rFonts w:hint="eastAsia" w:eastAsiaTheme="majorEastAsia"/>
          <w:color w:val="000000"/>
          <w:sz w:val="30"/>
          <w:szCs w:val="30"/>
          <w:lang w:val="en-US" w:eastAsia="zh-CN"/>
        </w:rPr>
        <w:t>2024-2-1</w:t>
      </w:r>
    </w:p>
    <w:p>
      <w:pPr>
        <w:spacing w:line="440" w:lineRule="exact"/>
        <w:ind w:firstLine="1785" w:firstLineChars="850"/>
        <w:jc w:val="left"/>
        <w:rPr>
          <w:rFonts w:eastAsiaTheme="majorEastAsia"/>
          <w:color w:val="000000"/>
          <w:sz w:val="30"/>
          <w:szCs w:val="30"/>
          <w:u w:val="single"/>
        </w:rPr>
      </w:pPr>
      <w:r>
        <w:drawing>
          <wp:anchor distT="0" distB="0" distL="114300" distR="114300" simplePos="0" relativeHeight="251669504" behindDoc="0" locked="0" layoutInCell="1" allowOverlap="1">
            <wp:simplePos x="0" y="0"/>
            <wp:positionH relativeFrom="column">
              <wp:posOffset>4432935</wp:posOffset>
            </wp:positionH>
            <wp:positionV relativeFrom="paragraph">
              <wp:posOffset>5955665</wp:posOffset>
            </wp:positionV>
            <wp:extent cx="1355725" cy="394335"/>
            <wp:effectExtent l="0" t="0" r="15875" b="5715"/>
            <wp:wrapNone/>
            <wp:docPr id="3" name="图片 3" descr="QQ图片2017071714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70717144438"/>
                    <pic:cNvPicPr>
                      <a:picLocks noChangeAspect="1"/>
                    </pic:cNvPicPr>
                  </pic:nvPicPr>
                  <pic:blipFill>
                    <a:blip r:embed="rId7">
                      <a:biLevel thresh="50000"/>
                      <a:grayscl/>
                    </a:blip>
                    <a:srcRect l="9966" t="38995" r="17204" b="49091"/>
                    <a:stretch>
                      <a:fillRect/>
                    </a:stretch>
                  </pic:blipFill>
                  <pic:spPr>
                    <a:xfrm>
                      <a:off x="0" y="0"/>
                      <a:ext cx="1355725" cy="394335"/>
                    </a:xfrm>
                    <a:prstGeom prst="rect">
                      <a:avLst/>
                    </a:prstGeom>
                    <a:noFill/>
                    <a:ln w="9525">
                      <a:noFill/>
                    </a:ln>
                  </pic:spPr>
                </pic:pic>
              </a:graphicData>
            </a:graphic>
          </wp:anchor>
        </w:drawing>
      </w:r>
    </w:p>
    <w:p>
      <w:pPr>
        <w:spacing w:line="440" w:lineRule="exact"/>
        <w:ind w:firstLine="2550" w:firstLineChars="850"/>
        <w:jc w:val="left"/>
        <w:rPr>
          <w:sz w:val="30"/>
          <w:szCs w:val="30"/>
        </w:rPr>
      </w:pPr>
      <w:r>
        <w:rPr>
          <w:sz w:val="30"/>
          <w:szCs w:val="30"/>
        </w:rPr>
        <w:t>审  核：</w:t>
      </w:r>
      <w:r>
        <w:rPr>
          <w:rFonts w:hint="eastAsia" w:eastAsiaTheme="majorEastAsia"/>
          <w:color w:val="000000"/>
          <w:sz w:val="30"/>
          <w:szCs w:val="30"/>
          <w:lang w:val="en-US" w:eastAsia="zh-CN"/>
        </w:rPr>
        <w:t>赵楠楠</w:t>
      </w:r>
      <w:r>
        <w:rPr>
          <w:sz w:val="30"/>
          <w:szCs w:val="30"/>
        </w:rPr>
        <w:t xml:space="preserve">      日  期：</w:t>
      </w:r>
      <w:r>
        <w:rPr>
          <w:rFonts w:hint="eastAsia" w:eastAsiaTheme="majorEastAsia"/>
          <w:color w:val="000000"/>
          <w:sz w:val="30"/>
          <w:szCs w:val="30"/>
          <w:lang w:val="en-US" w:eastAsia="zh-CN"/>
        </w:rPr>
        <w:t>2024-2-1</w:t>
      </w:r>
    </w:p>
    <w:p>
      <w:pPr>
        <w:spacing w:line="440" w:lineRule="exact"/>
        <w:ind w:firstLine="2550" w:firstLineChars="850"/>
        <w:jc w:val="left"/>
        <w:rPr>
          <w:sz w:val="30"/>
          <w:szCs w:val="30"/>
        </w:rPr>
      </w:pPr>
    </w:p>
    <w:p>
      <w:pPr>
        <w:spacing w:line="440" w:lineRule="exact"/>
        <w:ind w:firstLine="2550" w:firstLineChars="850"/>
        <w:jc w:val="left"/>
        <w:rPr>
          <w:rFonts w:hint="eastAsia" w:eastAsiaTheme="majorEastAsia"/>
          <w:color w:val="000000"/>
          <w:sz w:val="30"/>
          <w:szCs w:val="30"/>
          <w:lang w:val="en-US" w:eastAsia="zh-CN"/>
        </w:rPr>
      </w:pPr>
      <w:r>
        <w:rPr>
          <w:sz w:val="30"/>
          <w:szCs w:val="30"/>
        </w:rPr>
        <w:t>批  准：</w:t>
      </w:r>
      <w:r>
        <w:rPr>
          <w:rFonts w:hint="eastAsia"/>
          <w:sz w:val="30"/>
          <w:szCs w:val="30"/>
          <w:lang w:val="en-US" w:eastAsia="zh-CN"/>
        </w:rPr>
        <w:t>刘静静</w:t>
      </w:r>
      <w:r>
        <w:rPr>
          <w:sz w:val="30"/>
          <w:szCs w:val="30"/>
        </w:rPr>
        <w:t xml:space="preserve">      日  期：</w:t>
      </w:r>
      <w:r>
        <w:rPr>
          <w:rFonts w:hint="eastAsia" w:eastAsiaTheme="majorEastAsia"/>
          <w:color w:val="000000"/>
          <w:sz w:val="30"/>
          <w:szCs w:val="30"/>
          <w:lang w:val="en-US" w:eastAsia="zh-CN"/>
        </w:rPr>
        <w:t>2024-2-1</w:t>
      </w:r>
    </w:p>
    <w:p>
      <w:pPr>
        <w:spacing w:line="440" w:lineRule="exact"/>
        <w:ind w:firstLine="2550" w:firstLineChars="850"/>
        <w:jc w:val="left"/>
        <w:rPr>
          <w:rFonts w:hint="eastAsia" w:eastAsiaTheme="majorEastAsia"/>
          <w:color w:val="000000"/>
          <w:sz w:val="30"/>
          <w:szCs w:val="30"/>
          <w:lang w:val="en-US" w:eastAsia="zh-CN"/>
        </w:rPr>
      </w:pPr>
    </w:p>
    <w:p>
      <w:pPr>
        <w:spacing w:line="440" w:lineRule="exact"/>
        <w:ind w:firstLine="2550" w:firstLineChars="850"/>
        <w:jc w:val="left"/>
        <w:rPr>
          <w:sz w:val="30"/>
          <w:szCs w:val="30"/>
        </w:rPr>
      </w:pPr>
    </w:p>
    <w:p>
      <w:pPr>
        <w:spacing w:line="440" w:lineRule="exact"/>
        <w:ind w:firstLine="2550" w:firstLineChars="850"/>
        <w:jc w:val="left"/>
        <w:rPr>
          <w:sz w:val="30"/>
          <w:szCs w:val="30"/>
        </w:rPr>
      </w:pPr>
    </w:p>
    <w:p>
      <w:pPr>
        <w:spacing w:line="440" w:lineRule="exact"/>
        <w:jc w:val="left"/>
        <w:rPr>
          <w:sz w:val="24"/>
          <w:u w:val="single"/>
        </w:rPr>
      </w:pPr>
      <w:r>
        <w:rPr>
          <w:sz w:val="30"/>
          <w:szCs w:val="30"/>
        </w:rPr>
        <w:t>发布日期：20</w:t>
      </w:r>
      <w:r>
        <w:rPr>
          <w:rFonts w:hint="eastAsia"/>
          <w:sz w:val="30"/>
          <w:szCs w:val="30"/>
          <w:lang w:val="en-US" w:eastAsia="zh-CN"/>
        </w:rPr>
        <w:t>24</w:t>
      </w:r>
      <w:r>
        <w:rPr>
          <w:sz w:val="30"/>
          <w:szCs w:val="30"/>
        </w:rPr>
        <w:t>年</w:t>
      </w:r>
      <w:r>
        <w:rPr>
          <w:rFonts w:hint="eastAsia"/>
          <w:sz w:val="30"/>
          <w:szCs w:val="30"/>
          <w:lang w:val="en-US" w:eastAsia="zh-CN"/>
        </w:rPr>
        <w:t>2</w:t>
      </w:r>
      <w:r>
        <w:rPr>
          <w:sz w:val="30"/>
          <w:szCs w:val="30"/>
        </w:rPr>
        <w:t>月</w:t>
      </w:r>
      <w:r>
        <w:rPr>
          <w:rFonts w:hint="eastAsia"/>
          <w:sz w:val="30"/>
          <w:szCs w:val="30"/>
          <w:lang w:val="en-US" w:eastAsia="zh-CN"/>
        </w:rPr>
        <w:t>1</w:t>
      </w:r>
      <w:r>
        <w:rPr>
          <w:sz w:val="30"/>
          <w:szCs w:val="30"/>
        </w:rPr>
        <w:t xml:space="preserve">日        </w:t>
      </w:r>
      <w:r>
        <w:rPr>
          <w:rFonts w:hint="eastAsia"/>
          <w:sz w:val="30"/>
          <w:szCs w:val="30"/>
          <w:lang w:val="en-US" w:eastAsia="zh-CN"/>
        </w:rPr>
        <w:t xml:space="preserve">  </w:t>
      </w:r>
      <w:r>
        <w:rPr>
          <w:sz w:val="30"/>
          <w:szCs w:val="30"/>
        </w:rPr>
        <w:t xml:space="preserve"> 生效日期：202</w:t>
      </w:r>
      <w:r>
        <w:rPr>
          <w:rFonts w:hint="eastAsia"/>
          <w:sz w:val="30"/>
          <w:szCs w:val="30"/>
          <w:lang w:val="en-US" w:eastAsia="zh-CN"/>
        </w:rPr>
        <w:t>4</w:t>
      </w:r>
      <w:r>
        <w:rPr>
          <w:sz w:val="30"/>
          <w:szCs w:val="30"/>
        </w:rPr>
        <w:t>年</w:t>
      </w:r>
      <w:r>
        <w:rPr>
          <w:rFonts w:hint="eastAsia"/>
          <w:sz w:val="30"/>
          <w:szCs w:val="30"/>
          <w:lang w:val="en-US" w:eastAsia="zh-CN"/>
        </w:rPr>
        <w:t>2</w:t>
      </w:r>
      <w:r>
        <w:rPr>
          <w:sz w:val="30"/>
          <w:szCs w:val="30"/>
        </w:rPr>
        <w:t>月</w:t>
      </w:r>
      <w:r>
        <w:rPr>
          <w:rFonts w:hint="eastAsia"/>
          <w:sz w:val="30"/>
          <w:szCs w:val="30"/>
          <w:lang w:val="en-US" w:eastAsia="zh-CN"/>
        </w:rPr>
        <w:t>1</w:t>
      </w:r>
      <w:r>
        <w:rPr>
          <w:sz w:val="30"/>
          <w:szCs w:val="30"/>
        </w:rPr>
        <w:t xml:space="preserve">日  </w:t>
      </w:r>
    </w:p>
    <w:p>
      <w:pPr>
        <w:spacing w:line="440" w:lineRule="exact"/>
        <w:rPr>
          <w:rFonts w:eastAsiaTheme="majorEastAsia"/>
          <w:b/>
          <w:bCs/>
          <w:color w:val="000000"/>
          <w:sz w:val="22"/>
          <w:szCs w:val="22"/>
        </w:rPr>
      </w:pPr>
      <w:r>
        <w:rPr>
          <w:rFonts w:eastAsiaTheme="majorEastAsia"/>
          <w:b/>
          <w:bCs/>
          <w:color w:val="000000"/>
          <w:sz w:val="22"/>
          <w:szCs w:val="22"/>
        </w:rPr>
        <mc:AlternateContent>
          <mc:Choice Requires="wps">
            <w:drawing>
              <wp:anchor distT="0" distB="0" distL="114300" distR="114300" simplePos="0" relativeHeight="251668480" behindDoc="0" locked="0" layoutInCell="1" allowOverlap="1">
                <wp:simplePos x="0" y="0"/>
                <wp:positionH relativeFrom="column">
                  <wp:posOffset>22860</wp:posOffset>
                </wp:positionH>
                <wp:positionV relativeFrom="paragraph">
                  <wp:posOffset>88265</wp:posOffset>
                </wp:positionV>
                <wp:extent cx="6146800" cy="0"/>
                <wp:effectExtent l="0" t="0" r="25400" b="19050"/>
                <wp:wrapNone/>
                <wp:docPr id="2" name="直接连接符 2"/>
                <wp:cNvGraphicFramePr/>
                <a:graphic xmlns:a="http://schemas.openxmlformats.org/drawingml/2006/main">
                  <a:graphicData uri="http://schemas.microsoft.com/office/word/2010/wordprocessingShape">
                    <wps:wsp>
                      <wps:cNvCnPr/>
                      <wps:spPr>
                        <a:xfrm>
                          <a:off x="0" y="0"/>
                          <a:ext cx="61468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_x0000_s1026" o:spid="_x0000_s1026" o:spt="20" style="position:absolute;left:0pt;margin-left:1.8pt;margin-top:6.95pt;height:0pt;width:484pt;z-index:251668480;mso-width-relative:page;mso-height-relative:page;" filled="f" stroked="t" coordsize="21600,21600" o:gfxdata="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Pjb70wAAAAcBAAAPAAAAAAAAAAEAIAAA&#10;ACIAAABkcnMvZG93bnJldi54bWxQSwECFAAUAAAACACHTuJA6KozHdgBAACaAwAADgAAAAAAAAAB&#10;ACAAAAAiAQAAZHJzL2Uyb0RvYy54bWxQSwUGAAAAAAYABgBZAQAAbAUAAAAA&#10;">
                <v:fill on="f" focussize="0,0"/>
                <v:stroke color="#000000 [3213]" joinstyle="round"/>
                <v:imagedata o:title=""/>
                <o:lock v:ext="edit" aspectratio="f"/>
              </v:line>
            </w:pict>
          </mc:Fallback>
        </mc:AlternateContent>
      </w:r>
    </w:p>
    <w:p>
      <w:pPr>
        <w:spacing w:line="440" w:lineRule="exact"/>
        <w:rPr>
          <w:rFonts w:eastAsiaTheme="majorEastAsia"/>
          <w:b/>
          <w:bCs/>
          <w:color w:val="000000"/>
          <w:sz w:val="22"/>
          <w:szCs w:val="22"/>
        </w:rPr>
      </w:pPr>
    </w:p>
    <w:p>
      <w:pPr>
        <w:rPr>
          <w:rFonts w:eastAsiaTheme="majorEastAsia"/>
          <w:color w:val="000000"/>
          <w:szCs w:val="22"/>
        </w:rPr>
      </w:pPr>
    </w:p>
    <w:p>
      <w:pPr>
        <w:rPr>
          <w:rFonts w:eastAsiaTheme="majorEastAsia"/>
          <w:color w:val="000000"/>
          <w:szCs w:val="22"/>
        </w:rPr>
      </w:pPr>
    </w:p>
    <w:p>
      <w:pPr>
        <w:spacing w:line="200" w:lineRule="exact"/>
        <w:ind w:left="737"/>
      </w:pPr>
    </w:p>
    <w:p>
      <w:pPr>
        <w:spacing w:line="200" w:lineRule="exact"/>
        <w:ind w:left="737"/>
      </w:pPr>
      <w:r>
        <w:t xml:space="preserve">  </w:t>
      </w:r>
    </w:p>
    <w:sdt>
      <w:sdtPr>
        <w:rPr>
          <w:rFonts w:ascii="Times New Roman" w:hAnsi="Times New Roman" w:cs="Times New Roman"/>
          <w:lang w:val="zh-CN"/>
        </w:rPr>
        <w:id w:val="1458532904"/>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79"/>
            <w:jc w:val="center"/>
            <w:rPr>
              <w:rFonts w:ascii="Times New Roman" w:hAnsi="Times New Roman" w:cs="Times New Roman"/>
            </w:rPr>
          </w:pPr>
          <w:r>
            <w:rPr>
              <w:rFonts w:ascii="Times New Roman" w:hAnsi="Times New Roman" w:cs="Times New Roman"/>
              <w:lang w:val="zh-CN"/>
            </w:rPr>
            <w:t>目录</w:t>
          </w:r>
        </w:p>
        <w:p>
          <w:pPr>
            <w:pStyle w:val="24"/>
            <w:rPr>
              <w:rFonts w:asciiTheme="minorHAnsi" w:hAnsiTheme="minorHAnsi" w:eastAsiaTheme="minorEastAsia" w:cstheme="minorBidi"/>
              <w:bCs w:val="0"/>
              <w:caps w:val="0"/>
              <w:sz w:val="21"/>
              <w:szCs w:val="22"/>
            </w:rPr>
          </w:pPr>
          <w:r>
            <w:rPr>
              <w:bCs w:val="0"/>
              <w:caps w:val="0"/>
            </w:rPr>
            <w:fldChar w:fldCharType="begin"/>
          </w:r>
          <w:r>
            <w:rPr>
              <w:bCs w:val="0"/>
              <w:caps w:val="0"/>
            </w:rPr>
            <w:instrText xml:space="preserve"> TOC \o "1-1" \h \z \u </w:instrText>
          </w:r>
          <w:r>
            <w:rPr>
              <w:bCs w:val="0"/>
              <w:caps w:val="0"/>
            </w:rPr>
            <w:fldChar w:fldCharType="separate"/>
          </w:r>
          <w:r>
            <w:fldChar w:fldCharType="begin"/>
          </w:r>
          <w:r>
            <w:instrText xml:space="preserve"> HYPERLINK \l "_Toc53087553" </w:instrText>
          </w:r>
          <w:r>
            <w:fldChar w:fldCharType="separate"/>
          </w:r>
          <w:r>
            <w:rPr>
              <w:rStyle w:val="38"/>
            </w:rPr>
            <w:t>1.0公司简介</w:t>
          </w:r>
          <w:r>
            <w:tab/>
          </w:r>
          <w:r>
            <w:fldChar w:fldCharType="begin"/>
          </w:r>
          <w:r>
            <w:instrText xml:space="preserve"> PAGEREF _Toc53087553 \h </w:instrText>
          </w:r>
          <w:r>
            <w:fldChar w:fldCharType="separate"/>
          </w:r>
          <w:r>
            <w:t>4</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"_Toc53087554" </w:instrText>
          </w:r>
          <w:r>
            <w:fldChar w:fldCharType="separate"/>
          </w:r>
          <w:r>
            <w:rPr>
              <w:rStyle w:val="38"/>
            </w:rPr>
            <w:t>2.0质量方针/质量目标</w:t>
          </w:r>
          <w:r>
            <w:tab/>
          </w:r>
          <w:r>
            <w:fldChar w:fldCharType="begin"/>
          </w:r>
          <w:r>
            <w:instrText xml:space="preserve"> PAGEREF _Toc53087554 \h </w:instrText>
          </w:r>
          <w:r>
            <w:fldChar w:fldCharType="separate"/>
          </w:r>
          <w:r>
            <w:t>5</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"_Toc53087555" </w:instrText>
          </w:r>
          <w:r>
            <w:fldChar w:fldCharType="separate"/>
          </w:r>
          <w:r>
            <w:rPr>
              <w:rStyle w:val="38"/>
            </w:rPr>
            <w:t>3.0公正性和保密承诺</w:t>
          </w:r>
          <w:r>
            <w:tab/>
          </w:r>
          <w:r>
            <w:fldChar w:fldCharType="begin"/>
          </w:r>
          <w:r>
            <w:instrText xml:space="preserve"> PAGEREF _Toc53087555 \h </w:instrText>
          </w:r>
          <w:r>
            <w:fldChar w:fldCharType="separate"/>
          </w:r>
          <w:r>
            <w:t>5</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"_Toc53087556" </w:instrText>
          </w:r>
          <w:r>
            <w:fldChar w:fldCharType="separate"/>
          </w:r>
          <w:r>
            <w:rPr>
              <w:rStyle w:val="38"/>
            </w:rPr>
            <w:t>4.0管理体系认证程序</w:t>
          </w:r>
          <w:r>
            <w:tab/>
          </w:r>
          <w:r>
            <w:fldChar w:fldCharType="begin"/>
          </w:r>
          <w:r>
            <w:instrText xml:space="preserve"> PAGEREF _Toc53087556 \h </w:instrText>
          </w:r>
          <w:r>
            <w:fldChar w:fldCharType="separate"/>
          </w:r>
          <w:r>
            <w:t>6</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"_Toc53087557" </w:instrText>
          </w:r>
          <w:r>
            <w:fldChar w:fldCharType="separate"/>
          </w:r>
          <w:r>
            <w:rPr>
              <w:rStyle w:val="38"/>
            </w:rPr>
            <w:t>5.0认证活动工作流程</w:t>
          </w:r>
          <w:r>
            <w:tab/>
          </w:r>
          <w:r>
            <w:fldChar w:fldCharType="begin"/>
          </w:r>
          <w:r>
            <w:instrText xml:space="preserve"> PAGEREF _Toc53087557 \h </w:instrText>
          </w:r>
          <w:r>
            <w:fldChar w:fldCharType="separate"/>
          </w:r>
          <w:r>
            <w:t>8</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"_Toc53087558" </w:instrText>
          </w:r>
          <w:r>
            <w:fldChar w:fldCharType="separate"/>
          </w:r>
          <w:r>
            <w:rPr>
              <w:rStyle w:val="38"/>
            </w:rPr>
            <w:t>6.0中盛认证收费标准</w:t>
          </w:r>
          <w:r>
            <w:tab/>
          </w:r>
          <w:r>
            <w:fldChar w:fldCharType="begin"/>
          </w:r>
          <w:r>
            <w:instrText xml:space="preserve"> PAGEREF _Toc53087558 \h </w:instrText>
          </w:r>
          <w:r>
            <w:fldChar w:fldCharType="separate"/>
          </w:r>
          <w:r>
            <w:t>9</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"_Toc53087559" </w:instrText>
          </w:r>
          <w:r>
            <w:fldChar w:fldCharType="separate"/>
          </w:r>
          <w:r>
            <w:rPr>
              <w:rStyle w:val="38"/>
            </w:rPr>
            <w:t>7.0换发证书需提交的资料</w:t>
          </w:r>
          <w:r>
            <w:tab/>
          </w:r>
          <w:r>
            <w:fldChar w:fldCharType="begin"/>
          </w:r>
          <w:r>
            <w:instrText xml:space="preserve"> PAGEREF _Toc53087559 \h </w:instrText>
          </w:r>
          <w:r>
            <w:fldChar w:fldCharType="separate"/>
          </w:r>
          <w:r>
            <w:t>10</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"_Toc53087560" </w:instrText>
          </w:r>
          <w:r>
            <w:fldChar w:fldCharType="separate"/>
          </w:r>
          <w:r>
            <w:rPr>
              <w:rStyle w:val="38"/>
            </w:rPr>
            <w:t>8.0获证组织信息通报制度</w:t>
          </w:r>
          <w:r>
            <w:tab/>
          </w:r>
          <w:r>
            <w:fldChar w:fldCharType="begin"/>
          </w:r>
          <w:r>
            <w:instrText xml:space="preserve"> PAGEREF _Toc53087560 \h </w:instrText>
          </w:r>
          <w:r>
            <w:fldChar w:fldCharType="separate"/>
          </w:r>
          <w:r>
            <w:t>10</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"_Toc53087561" </w:instrText>
          </w:r>
          <w:r>
            <w:fldChar w:fldCharType="separate"/>
          </w:r>
          <w:r>
            <w:rPr>
              <w:rStyle w:val="38"/>
            </w:rPr>
            <w:t>9.0对授予、拒绝、保持认证，扩大或缩小认证范围，更新、暂停、恢复或撤销认证和再认证注册的说明</w:t>
          </w:r>
          <w:r>
            <w:tab/>
          </w:r>
          <w:r>
            <w:fldChar w:fldCharType="begin"/>
          </w:r>
          <w:r>
            <w:instrText xml:space="preserve"> PAGEREF _Toc53087561 \h </w:instrText>
          </w:r>
          <w:r>
            <w:fldChar w:fldCharType="separate"/>
          </w:r>
          <w:r>
            <w:t>11</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"_Toc53087562" </w:instrText>
          </w:r>
          <w:r>
            <w:fldChar w:fldCharType="separate"/>
          </w:r>
          <w:r>
            <w:rPr>
              <w:rStyle w:val="38"/>
            </w:rPr>
            <w:t>10.0申请组织与审核方的权利与义务</w:t>
          </w:r>
          <w:r>
            <w:tab/>
          </w:r>
          <w:r>
            <w:fldChar w:fldCharType="begin"/>
          </w:r>
          <w:r>
            <w:instrText xml:space="preserve"> PAGEREF _Toc53087562 \h </w:instrText>
          </w:r>
          <w:r>
            <w:fldChar w:fldCharType="separate"/>
          </w:r>
          <w:r>
            <w:t>15</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"_Toc53087563" </w:instrText>
          </w:r>
          <w:r>
            <w:fldChar w:fldCharType="separate"/>
          </w:r>
          <w:r>
            <w:rPr>
              <w:rStyle w:val="38"/>
            </w:rPr>
            <w:t>11.0认证标志和认证证书管理规定</w:t>
          </w:r>
          <w:r>
            <w:tab/>
          </w:r>
          <w:r>
            <w:fldChar w:fldCharType="begin"/>
          </w:r>
          <w:r>
            <w:instrText xml:space="preserve"> PAGEREF _Toc53087563 \h </w:instrText>
          </w:r>
          <w:r>
            <w:fldChar w:fldCharType="separate"/>
          </w:r>
          <w:r>
            <w:t>17</w:t>
          </w:r>
          <w:r>
            <w:fldChar w:fldCharType="end"/>
          </w:r>
          <w:r>
            <w:fldChar w:fldCharType="end"/>
          </w:r>
        </w:p>
        <w:p>
          <w:pPr>
            <w:pStyle w:val="24"/>
            <w:rPr>
              <w:rFonts w:asciiTheme="minorHAnsi" w:hAnsiTheme="minorHAnsi" w:eastAsiaTheme="minorEastAsia" w:cstheme="minorBidi"/>
              <w:bCs w:val="0"/>
              <w:caps w:val="0"/>
              <w:sz w:val="21"/>
              <w:szCs w:val="22"/>
            </w:rPr>
          </w:pPr>
          <w:r>
            <w:fldChar w:fldCharType="begin"/>
          </w:r>
          <w:r>
            <w:instrText xml:space="preserve"> HYPERLINK \l "_Toc53087564" </w:instrText>
          </w:r>
          <w:r>
            <w:fldChar w:fldCharType="separate"/>
          </w:r>
          <w:r>
            <w:rPr>
              <w:rStyle w:val="38"/>
            </w:rPr>
            <w:t>12.0申诉和投诉的处理规定</w:t>
          </w:r>
          <w:r>
            <w:tab/>
          </w:r>
          <w:r>
            <w:fldChar w:fldCharType="begin"/>
          </w:r>
          <w:r>
            <w:instrText xml:space="preserve"> PAGEREF _Toc53087564 \h </w:instrText>
          </w:r>
          <w:r>
            <w:fldChar w:fldCharType="separate"/>
          </w:r>
          <w:r>
            <w:t>21</w:t>
          </w:r>
          <w:r>
            <w:fldChar w:fldCharType="end"/>
          </w:r>
          <w:r>
            <w:fldChar w:fldCharType="end"/>
          </w:r>
        </w:p>
        <w:p>
          <w:r>
            <w:rPr>
              <w:bCs/>
              <w:caps/>
              <w:sz w:val="24"/>
            </w:rPr>
            <w:fldChar w:fldCharType="end"/>
          </w:r>
        </w:p>
      </w:sdtContent>
    </w:sdt>
    <w:p>
      <w:pPr>
        <w:tabs>
          <w:tab w:val="left" w:pos="5860"/>
        </w:tabs>
        <w:adjustRightInd w:val="0"/>
        <w:snapToGrid w:val="0"/>
        <w:spacing w:line="480" w:lineRule="auto"/>
        <w:ind w:firstLine="422" w:firstLineChars="200"/>
        <w:rPr>
          <w:b/>
          <w:kern w:val="0"/>
          <w:szCs w:val="21"/>
        </w:rPr>
      </w:pPr>
    </w:p>
    <w:p>
      <w:pPr>
        <w:spacing w:line="360" w:lineRule="auto"/>
        <w:jc w:val="center"/>
        <w:rPr>
          <w:b/>
          <w:spacing w:val="32"/>
          <w:sz w:val="32"/>
          <w:szCs w:val="32"/>
        </w:rPr>
      </w:pPr>
    </w:p>
    <w:p>
      <w:pPr>
        <w:spacing w:line="360" w:lineRule="auto"/>
        <w:jc w:val="center"/>
        <w:rPr>
          <w:b/>
          <w:spacing w:val="32"/>
          <w:sz w:val="32"/>
          <w:szCs w:val="32"/>
        </w:rPr>
      </w:pPr>
    </w:p>
    <w:p>
      <w:pPr>
        <w:spacing w:line="360" w:lineRule="auto"/>
        <w:jc w:val="center"/>
        <w:rPr>
          <w:b/>
          <w:spacing w:val="32"/>
          <w:sz w:val="32"/>
          <w:szCs w:val="32"/>
        </w:rPr>
      </w:pPr>
    </w:p>
    <w:p>
      <w:pPr>
        <w:spacing w:line="360" w:lineRule="auto"/>
        <w:jc w:val="center"/>
        <w:rPr>
          <w:b/>
          <w:spacing w:val="32"/>
          <w:sz w:val="32"/>
          <w:szCs w:val="32"/>
        </w:rPr>
      </w:pPr>
    </w:p>
    <w:p>
      <w:pPr>
        <w:spacing w:line="360" w:lineRule="auto"/>
        <w:jc w:val="center"/>
        <w:rPr>
          <w:b/>
          <w:spacing w:val="32"/>
          <w:sz w:val="32"/>
          <w:szCs w:val="32"/>
        </w:rPr>
      </w:pPr>
    </w:p>
    <w:p>
      <w:pPr>
        <w:spacing w:line="360" w:lineRule="auto"/>
        <w:jc w:val="center"/>
        <w:rPr>
          <w:b/>
          <w:spacing w:val="32"/>
          <w:sz w:val="32"/>
          <w:szCs w:val="32"/>
        </w:rPr>
      </w:pPr>
    </w:p>
    <w:p>
      <w:pPr>
        <w:spacing w:line="360" w:lineRule="auto"/>
        <w:jc w:val="center"/>
        <w:rPr>
          <w:b/>
          <w:spacing w:val="32"/>
          <w:sz w:val="32"/>
          <w:szCs w:val="32"/>
        </w:rPr>
      </w:pPr>
    </w:p>
    <w:p>
      <w:pPr>
        <w:spacing w:line="360" w:lineRule="auto"/>
        <w:jc w:val="center"/>
        <w:rPr>
          <w:b/>
          <w:spacing w:val="32"/>
          <w:sz w:val="32"/>
          <w:szCs w:val="32"/>
        </w:rPr>
      </w:pPr>
    </w:p>
    <w:p>
      <w:pPr>
        <w:spacing w:line="360" w:lineRule="auto"/>
        <w:jc w:val="center"/>
        <w:rPr>
          <w:b/>
          <w:spacing w:val="32"/>
          <w:sz w:val="32"/>
          <w:szCs w:val="32"/>
        </w:rPr>
      </w:pPr>
    </w:p>
    <w:p>
      <w:pPr>
        <w:spacing w:line="360" w:lineRule="auto"/>
        <w:jc w:val="center"/>
        <w:rPr>
          <w:b/>
          <w:spacing w:val="32"/>
          <w:sz w:val="32"/>
          <w:szCs w:val="32"/>
        </w:rPr>
      </w:pPr>
    </w:p>
    <w:p>
      <w:pPr>
        <w:spacing w:line="360" w:lineRule="auto"/>
        <w:jc w:val="center"/>
        <w:rPr>
          <w:b/>
          <w:spacing w:val="32"/>
          <w:sz w:val="32"/>
          <w:szCs w:val="32"/>
        </w:rPr>
      </w:pPr>
    </w:p>
    <w:p>
      <w:pPr>
        <w:jc w:val="center"/>
        <w:rPr>
          <w:b/>
          <w:kern w:val="44"/>
          <w:sz w:val="30"/>
        </w:rPr>
      </w:pPr>
      <w:bookmarkStart w:id="0" w:name="_Toc52892257"/>
      <w:bookmarkStart w:id="1" w:name="_Toc52890880"/>
      <w:bookmarkStart w:id="2" w:name="_Toc465002737"/>
      <w:bookmarkStart w:id="3" w:name="_Toc11833"/>
      <w:bookmarkStart w:id="4" w:name="_Toc53085702"/>
      <w:r>
        <w:rPr>
          <w:b/>
          <w:sz w:val="32"/>
        </w:rPr>
        <w:t>修订状态</w:t>
      </w:r>
      <w:bookmarkEnd w:id="0"/>
      <w:bookmarkEnd w:id="1"/>
      <w:bookmarkEnd w:id="2"/>
      <w:bookmarkEnd w:id="3"/>
      <w:bookmarkEnd w:id="4"/>
    </w:p>
    <w:tbl>
      <w:tblPr>
        <w:tblStyle w:val="33"/>
        <w:tblW w:w="9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4011"/>
        <w:gridCol w:w="1214"/>
        <w:gridCol w:w="672"/>
        <w:gridCol w:w="685"/>
        <w:gridCol w:w="1075"/>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color w:val="000000"/>
                <w:kern w:val="0"/>
              </w:rPr>
            </w:pPr>
            <w:r>
              <w:rPr>
                <w:color w:val="000000"/>
                <w:kern w:val="0"/>
              </w:rPr>
              <w:t>序号</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color w:val="000000"/>
                <w:kern w:val="0"/>
              </w:rPr>
            </w:pPr>
            <w:r>
              <w:rPr>
                <w:color w:val="000000"/>
                <w:kern w:val="0"/>
              </w:rPr>
              <w:t>修订内容</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color w:val="000000"/>
                <w:kern w:val="0"/>
              </w:rPr>
            </w:pPr>
            <w:r>
              <w:rPr>
                <w:color w:val="000000"/>
                <w:kern w:val="0"/>
              </w:rPr>
              <w:t>发行</w:t>
            </w:r>
          </w:p>
          <w:p>
            <w:pPr>
              <w:widowControl/>
              <w:spacing w:line="240" w:lineRule="exact"/>
              <w:jc w:val="center"/>
              <w:rPr>
                <w:color w:val="000000"/>
                <w:kern w:val="0"/>
              </w:rPr>
            </w:pPr>
            <w:r>
              <w:rPr>
                <w:color w:val="000000"/>
                <w:kern w:val="0"/>
              </w:rPr>
              <w:t>日期</w:t>
            </w:r>
          </w:p>
        </w:tc>
        <w:tc>
          <w:tcPr>
            <w:tcW w:w="67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color w:val="000000"/>
                <w:kern w:val="0"/>
              </w:rPr>
            </w:pPr>
            <w:r>
              <w:rPr>
                <w:color w:val="000000"/>
                <w:kern w:val="0"/>
              </w:rPr>
              <w:t>页码</w:t>
            </w:r>
          </w:p>
        </w:tc>
        <w:tc>
          <w:tcPr>
            <w:tcW w:w="68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color w:val="000000"/>
                <w:kern w:val="0"/>
              </w:rPr>
            </w:pPr>
            <w:r>
              <w:rPr>
                <w:color w:val="000000"/>
                <w:kern w:val="0"/>
              </w:rPr>
              <w:t>版次</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color w:val="000000"/>
                <w:kern w:val="0"/>
              </w:rPr>
            </w:pPr>
            <w:r>
              <w:rPr>
                <w:color w:val="000000"/>
                <w:kern w:val="0"/>
              </w:rPr>
              <w:t>修订人</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color w:val="000000"/>
                <w:kern w:val="0"/>
              </w:rPr>
            </w:pPr>
            <w:r>
              <w:rPr>
                <w:color w:val="000000"/>
                <w:kern w:val="0"/>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1</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首次发布</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2016-4-20　</w:t>
            </w: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相关　</w:t>
            </w: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A0</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胡君中</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刘乾坤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2</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rPr>
            </w:pPr>
            <w:r>
              <w:rPr>
                <w:color w:val="000000"/>
                <w:kern w:val="0"/>
              </w:rPr>
              <w:t>变更关于公司办公经营地址、法定代表人相关的信息</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2020-8-1</w:t>
            </w: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相关　</w:t>
            </w: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B/0</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胡君中</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刘华丽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3</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eastAsia="宋体"/>
                <w:color w:val="000000"/>
                <w:kern w:val="0"/>
                <w:lang w:val="en-US" w:eastAsia="zh-CN"/>
              </w:rPr>
            </w:pPr>
            <w:r>
              <w:rPr>
                <w:color w:val="000000"/>
                <w:kern w:val="0"/>
              </w:rPr>
              <w:t>　</w:t>
            </w:r>
            <w:r>
              <w:rPr>
                <w:rFonts w:hint="eastAsia"/>
                <w:color w:val="000000"/>
                <w:kern w:val="0"/>
                <w:lang w:val="en-US" w:eastAsia="zh-CN"/>
              </w:rPr>
              <w:t>变更总经理及管理者代表相关信息</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eastAsia="宋体"/>
                <w:color w:val="000000"/>
                <w:kern w:val="0"/>
                <w:lang w:val="en-US" w:eastAsia="zh-CN"/>
              </w:rPr>
            </w:pPr>
            <w:r>
              <w:rPr>
                <w:color w:val="000000"/>
                <w:kern w:val="0"/>
              </w:rPr>
              <w:t>　</w:t>
            </w:r>
            <w:r>
              <w:rPr>
                <w:rFonts w:hint="eastAsia"/>
                <w:color w:val="000000"/>
                <w:kern w:val="0"/>
                <w:lang w:val="en-US" w:eastAsia="zh-CN"/>
              </w:rPr>
              <w:t>2023-7-17</w:t>
            </w: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1"/>
                <w:szCs w:val="24"/>
                <w:lang w:val="en-US" w:eastAsia="zh-CN" w:bidi="ar-SA"/>
              </w:rPr>
            </w:pPr>
            <w:r>
              <w:rPr>
                <w:color w:val="000000"/>
                <w:kern w:val="0"/>
              </w:rPr>
              <w:t>相关　</w:t>
            </w: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rFonts w:hint="eastAsia"/>
                <w:color w:val="000000"/>
                <w:kern w:val="0"/>
                <w:lang w:val="en-US" w:eastAsia="zh-CN"/>
              </w:rPr>
              <w:t>C</w:t>
            </w:r>
            <w:r>
              <w:rPr>
                <w:color w:val="000000"/>
                <w:kern w:val="0"/>
              </w:rPr>
              <w:t>/0　</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rFonts w:hint="eastAsia"/>
                <w:color w:val="000000"/>
                <w:kern w:val="0"/>
                <w:lang w:val="en-US" w:eastAsia="zh-CN"/>
              </w:rPr>
              <w:t>赵楠楠</w:t>
            </w:r>
            <w:r>
              <w:rPr>
                <w:color w:val="000000"/>
                <w:kern w:val="0"/>
              </w:rPr>
              <w:t>　</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eastAsia="宋体"/>
                <w:color w:val="000000"/>
                <w:kern w:val="0"/>
                <w:lang w:val="en-US" w:eastAsia="zh-CN"/>
              </w:rPr>
            </w:pPr>
            <w:r>
              <w:rPr>
                <w:rFonts w:hint="eastAsia"/>
                <w:color w:val="000000"/>
                <w:kern w:val="0"/>
                <w:lang w:val="en-US" w:eastAsia="zh-CN"/>
              </w:rPr>
              <w:t>刘静静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4</w:t>
            </w:r>
          </w:p>
        </w:tc>
        <w:tc>
          <w:tcPr>
            <w:tcW w:w="4011" w:type="dxa"/>
            <w:tcBorders>
              <w:top w:val="single" w:color="auto" w:sz="4" w:space="0"/>
              <w:left w:val="single" w:color="auto" w:sz="4" w:space="0"/>
              <w:bottom w:val="single" w:color="auto" w:sz="4" w:space="0"/>
              <w:right w:val="single" w:color="auto" w:sz="4" w:space="0"/>
            </w:tcBorders>
            <w:vAlign w:val="center"/>
          </w:tcPr>
          <w:p>
            <w:pPr>
              <w:pStyle w:val="2"/>
              <w:spacing w:before="120" w:after="120"/>
              <w:rPr>
                <w:rFonts w:hint="eastAsia" w:ascii="Times New Roman" w:hAnsi="Times New Roman" w:eastAsia="宋体" w:cs="Times New Roman"/>
                <w:b w:val="0"/>
                <w:bCs w:val="0"/>
                <w:color w:val="000000"/>
                <w:kern w:val="0"/>
                <w:sz w:val="21"/>
                <w:szCs w:val="24"/>
                <w:lang w:val="en-US" w:eastAsia="zh-CN" w:bidi="ar-SA"/>
              </w:rPr>
            </w:pPr>
            <w:r>
              <w:rPr>
                <w:rFonts w:hint="eastAsia" w:ascii="Times New Roman" w:hAnsi="Times New Roman" w:eastAsia="宋体" w:cs="Times New Roman"/>
                <w:b w:val="0"/>
                <w:bCs w:val="0"/>
                <w:color w:val="000000"/>
                <w:kern w:val="0"/>
                <w:sz w:val="21"/>
                <w:szCs w:val="24"/>
                <w:lang w:val="en-US" w:eastAsia="zh-CN" w:bidi="ar-SA"/>
              </w:rPr>
              <w:t>增加</w:t>
            </w:r>
            <w:r>
              <w:rPr>
                <w:rFonts w:hint="eastAsia" w:cs="Times New Roman"/>
                <w:b w:val="0"/>
                <w:bCs w:val="0"/>
                <w:color w:val="000000"/>
                <w:kern w:val="0"/>
                <w:sz w:val="21"/>
                <w:szCs w:val="24"/>
                <w:lang w:val="en-US" w:eastAsia="zh-CN" w:bidi="ar-SA"/>
              </w:rPr>
              <w:t>公开内容：</w:t>
            </w:r>
            <w:r>
              <w:rPr>
                <w:rFonts w:hint="eastAsia" w:ascii="Times New Roman" w:hAnsi="Times New Roman" w:eastAsia="宋体" w:cs="Times New Roman"/>
                <w:b w:val="0"/>
                <w:bCs w:val="0"/>
                <w:color w:val="000000"/>
                <w:kern w:val="0"/>
                <w:sz w:val="21"/>
                <w:szCs w:val="24"/>
                <w:lang w:val="en-US" w:eastAsia="zh-CN" w:bidi="ar-SA"/>
              </w:rPr>
              <w:t>认证标志和认证证书管理规定</w:t>
            </w:r>
          </w:p>
          <w:p>
            <w:pPr>
              <w:widowControl/>
              <w:jc w:val="center"/>
              <w:rPr>
                <w:rFonts w:hint="default" w:eastAsia="宋体"/>
                <w:color w:val="000000"/>
                <w:kern w:val="0"/>
                <w:lang w:val="en-US" w:eastAsia="zh-CN"/>
              </w:rPr>
            </w:pP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rFonts w:hint="eastAsia"/>
                <w:color w:val="000000"/>
                <w:kern w:val="0"/>
                <w:lang w:val="en-US" w:eastAsia="zh-CN"/>
              </w:rPr>
              <w:t>2024-2-1</w:t>
            </w:r>
            <w:r>
              <w:rPr>
                <w:color w:val="000000"/>
                <w:kern w:val="0"/>
              </w:rPr>
              <w:t>　</w:t>
            </w: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相关　</w:t>
            </w: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rFonts w:hint="eastAsia"/>
                <w:color w:val="000000"/>
                <w:kern w:val="0"/>
                <w:lang w:val="en-US" w:eastAsia="zh-CN"/>
              </w:rPr>
              <w:t>C</w:t>
            </w:r>
            <w:r>
              <w:rPr>
                <w:color w:val="000000"/>
                <w:kern w:val="0"/>
              </w:rPr>
              <w:t>/</w:t>
            </w:r>
            <w:r>
              <w:rPr>
                <w:rFonts w:hint="eastAsia"/>
                <w:color w:val="000000"/>
                <w:kern w:val="0"/>
                <w:lang w:val="en-US" w:eastAsia="zh-CN"/>
              </w:rPr>
              <w:t>1</w:t>
            </w:r>
            <w:r>
              <w:rPr>
                <w:color w:val="000000"/>
                <w:kern w:val="0"/>
              </w:rPr>
              <w:t>　</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rFonts w:hint="eastAsia"/>
                <w:color w:val="000000"/>
                <w:kern w:val="0"/>
                <w:lang w:val="en-US" w:eastAsia="zh-CN"/>
              </w:rPr>
              <w:t>赵楠楠</w:t>
            </w:r>
            <w:r>
              <w:rPr>
                <w:color w:val="000000"/>
                <w:kern w:val="0"/>
              </w:rPr>
              <w:t>　</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rFonts w:hint="eastAsia"/>
                <w:color w:val="000000"/>
                <w:kern w:val="0"/>
                <w:lang w:val="en-US" w:eastAsia="zh-CN"/>
              </w:rPr>
              <w:t>刘静静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5</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6</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7</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8</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　</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9</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10</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r>
              <w:rPr>
                <w:color w:val="000000"/>
                <w:kern w:val="0"/>
              </w:rPr>
              <w:t>11</w:t>
            </w:r>
          </w:p>
        </w:tc>
        <w:tc>
          <w:tcPr>
            <w:tcW w:w="401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121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67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68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10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rPr>
            </w:pPr>
          </w:p>
        </w:tc>
      </w:tr>
    </w:tbl>
    <w:p>
      <w:pPr>
        <w:tabs>
          <w:tab w:val="left" w:pos="1005"/>
        </w:tabs>
        <w:spacing w:line="320" w:lineRule="exact"/>
        <w:rPr>
          <w:rFonts w:eastAsia="微软雅黑"/>
          <w:color w:val="000000"/>
        </w:rPr>
      </w:pPr>
    </w:p>
    <w:p/>
    <w:p/>
    <w:p/>
    <w:p>
      <w:pPr>
        <w:spacing w:line="360" w:lineRule="auto"/>
        <w:jc w:val="center"/>
        <w:rPr>
          <w:b/>
          <w:spacing w:val="32"/>
          <w:sz w:val="32"/>
          <w:szCs w:val="32"/>
        </w:rPr>
      </w:pPr>
    </w:p>
    <w:p>
      <w:pPr>
        <w:spacing w:line="360" w:lineRule="auto"/>
        <w:jc w:val="center"/>
        <w:rPr>
          <w:b/>
          <w:spacing w:val="32"/>
          <w:sz w:val="32"/>
          <w:szCs w:val="32"/>
        </w:rPr>
      </w:pPr>
    </w:p>
    <w:p>
      <w:pPr>
        <w:pStyle w:val="2"/>
        <w:spacing w:before="120" w:afterLines="0" w:line="360" w:lineRule="auto"/>
        <w:ind w:left="0" w:right="-29" w:rightChars="-14" w:firstLine="0"/>
        <w:jc w:val="left"/>
        <w:rPr>
          <w:szCs w:val="32"/>
        </w:rPr>
      </w:pPr>
      <w:bookmarkStart w:id="5" w:name="_Toc52890883"/>
      <w:bookmarkStart w:id="6" w:name="_Toc53087553"/>
      <w:bookmarkStart w:id="7" w:name="_Toc52956244"/>
      <w:bookmarkStart w:id="8" w:name="_Toc52892260"/>
      <w:r>
        <w:rPr>
          <w:szCs w:val="32"/>
        </w:rPr>
        <w:t>1.0公司简介</w:t>
      </w:r>
      <w:bookmarkEnd w:id="5"/>
      <w:bookmarkEnd w:id="6"/>
      <w:bookmarkEnd w:id="7"/>
      <w:bookmarkEnd w:id="8"/>
    </w:p>
    <w:p>
      <w:pPr>
        <w:spacing w:line="360" w:lineRule="exact"/>
        <w:ind w:left="348" w:leftChars="-1" w:hanging="350" w:hangingChars="146"/>
        <w:rPr>
          <w:sz w:val="24"/>
          <w:szCs w:val="28"/>
        </w:rPr>
      </w:pPr>
      <w:r>
        <w:rPr>
          <w:sz w:val="24"/>
          <w:szCs w:val="28"/>
        </w:rPr>
        <w:t>1.1深圳市中盛认证有限公司(以下简称“中盛”) 成立于2016年4月，具有独立法人资格、经中国国家认证认可监督管理委员会（CNCA）批准（批准号CNCA-R-2018-382）的第三方认证机构，主要从事管理体系认证，包括质量管理体系(QMS)、环境管理体系(EMS)、职业健康安全管理体系(OHSMS)。</w:t>
      </w:r>
    </w:p>
    <w:p>
      <w:pPr>
        <w:spacing w:line="360" w:lineRule="exact"/>
        <w:ind w:left="614" w:leftChars="1" w:hanging="612" w:hangingChars="255"/>
        <w:rPr>
          <w:sz w:val="24"/>
          <w:szCs w:val="28"/>
        </w:rPr>
      </w:pPr>
      <w:r>
        <w:rPr>
          <w:sz w:val="24"/>
          <w:szCs w:val="28"/>
        </w:rPr>
        <w:t> </w:t>
      </w:r>
    </w:p>
    <w:p>
      <w:pPr>
        <w:spacing w:line="360" w:lineRule="exact"/>
        <w:ind w:firstLine="480" w:firstLineChars="200"/>
        <w:rPr>
          <w:sz w:val="24"/>
          <w:szCs w:val="28"/>
        </w:rPr>
      </w:pPr>
      <w:r>
        <w:rPr>
          <w:sz w:val="24"/>
          <w:szCs w:val="28"/>
        </w:rPr>
        <w:t>公司愿景：为客户提供有价值的增值服务，维护客户的永续经营，把中盛建设成为客户心目中的行业标杆；</w:t>
      </w:r>
    </w:p>
    <w:p>
      <w:pPr>
        <w:spacing w:line="360" w:lineRule="exact"/>
        <w:ind w:firstLine="480" w:firstLineChars="200"/>
        <w:rPr>
          <w:sz w:val="24"/>
          <w:szCs w:val="28"/>
        </w:rPr>
      </w:pPr>
      <w:r>
        <w:rPr>
          <w:sz w:val="24"/>
          <w:szCs w:val="28"/>
        </w:rPr>
        <w:t>质量方针：合规经营、公正服务、关注顾客、规范运作；</w:t>
      </w:r>
    </w:p>
    <w:p>
      <w:pPr>
        <w:spacing w:line="360" w:lineRule="exact"/>
        <w:ind w:firstLine="480" w:firstLineChars="200"/>
        <w:rPr>
          <w:sz w:val="24"/>
          <w:szCs w:val="28"/>
        </w:rPr>
      </w:pPr>
      <w:r>
        <w:rPr>
          <w:sz w:val="24"/>
          <w:szCs w:val="28"/>
        </w:rPr>
        <w:t>公司使命：以客户需求为导向，专注体系认证业务，实现公司、客户和员工多赢；</w:t>
      </w:r>
    </w:p>
    <w:p>
      <w:pPr>
        <w:spacing w:line="360" w:lineRule="exact"/>
        <w:ind w:firstLine="480" w:firstLineChars="200"/>
        <w:rPr>
          <w:sz w:val="24"/>
          <w:szCs w:val="28"/>
        </w:rPr>
      </w:pPr>
      <w:r>
        <w:rPr>
          <w:sz w:val="24"/>
          <w:szCs w:val="28"/>
        </w:rPr>
        <w:t>企业精神：服务业的伟大精神-诚信、严谨、公正；</w:t>
      </w:r>
    </w:p>
    <w:p>
      <w:pPr>
        <w:spacing w:line="360" w:lineRule="exact"/>
        <w:ind w:firstLine="480" w:firstLineChars="200"/>
        <w:rPr>
          <w:sz w:val="24"/>
          <w:szCs w:val="28"/>
        </w:rPr>
      </w:pPr>
      <w:r>
        <w:rPr>
          <w:sz w:val="24"/>
          <w:szCs w:val="28"/>
        </w:rPr>
        <w:t>用人理念：唯才适用，任人唯贤；</w:t>
      </w:r>
    </w:p>
    <w:p>
      <w:pPr>
        <w:spacing w:line="360" w:lineRule="exact"/>
        <w:ind w:firstLine="480" w:firstLineChars="200"/>
        <w:rPr>
          <w:sz w:val="24"/>
          <w:szCs w:val="28"/>
        </w:rPr>
      </w:pPr>
      <w:r>
        <w:rPr>
          <w:sz w:val="24"/>
          <w:szCs w:val="28"/>
        </w:rPr>
        <w:t>价 值 观：以公正服务迎市场需求、用严谨务实建专业团队、靠规范运作树行业品牌。</w:t>
      </w:r>
    </w:p>
    <w:p/>
    <w:p>
      <w:pPr>
        <w:spacing w:line="360" w:lineRule="exact"/>
        <w:ind w:left="348" w:leftChars="-1" w:hanging="350" w:hangingChars="146"/>
        <w:rPr>
          <w:highlight w:val="blue"/>
        </w:rPr>
      </w:pPr>
      <w:bookmarkStart w:id="9" w:name="_Toc52890884"/>
      <w:r>
        <w:rPr>
          <w:sz w:val="24"/>
        </w:rPr>
        <w:t>1.2品牌形象</w:t>
      </w:r>
      <w:bookmarkEnd w:id="9"/>
    </w:p>
    <w:p>
      <w:pPr>
        <w:jc w:val="left"/>
        <w:rPr>
          <w:b/>
          <w:bCs/>
          <w:color w:val="FFFFFF"/>
          <w:sz w:val="32"/>
          <w:szCs w:val="32"/>
          <w:highlight w:val="blue"/>
        </w:rPr>
      </w:pPr>
      <w:r>
        <w:rPr>
          <w:rFonts w:eastAsia="楷体_GB2312"/>
          <w:b/>
          <w:sz w:val="30"/>
          <w:szCs w:val="30"/>
        </w:rPr>
        <w:drawing>
          <wp:anchor distT="0" distB="0" distL="114300" distR="114300" simplePos="0" relativeHeight="251670528" behindDoc="0" locked="0" layoutInCell="1" allowOverlap="1">
            <wp:simplePos x="0" y="0"/>
            <wp:positionH relativeFrom="column">
              <wp:posOffset>386715</wp:posOffset>
            </wp:positionH>
            <wp:positionV relativeFrom="paragraph">
              <wp:posOffset>182880</wp:posOffset>
            </wp:positionV>
            <wp:extent cx="1636395" cy="694055"/>
            <wp:effectExtent l="0" t="0" r="1905" b="0"/>
            <wp:wrapNone/>
            <wp:docPr id="7" name="图片 7" descr="C-SUN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SUN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44683" cy="697392"/>
                    </a:xfrm>
                    <a:prstGeom prst="rect">
                      <a:avLst/>
                    </a:prstGeom>
                    <a:noFill/>
                    <a:ln>
                      <a:noFill/>
                    </a:ln>
                  </pic:spPr>
                </pic:pic>
              </a:graphicData>
            </a:graphic>
          </wp:anchor>
        </w:drawing>
      </w:r>
    </w:p>
    <w:p>
      <w:pPr>
        <w:widowControl/>
        <w:shd w:val="clear" w:color="auto" w:fill="FFFFFF"/>
        <w:wordWrap w:val="0"/>
        <w:spacing w:before="100" w:beforeAutospacing="1" w:after="100" w:afterAutospacing="1" w:line="270" w:lineRule="atLeast"/>
        <w:ind w:firstLine="40"/>
        <w:rPr>
          <w:b/>
          <w:color w:val="000000" w:themeColor="text1"/>
          <w:sz w:val="24"/>
          <w14:textFill>
            <w14:solidFill>
              <w14:schemeClr w14:val="tx1"/>
            </w14:solidFill>
          </w14:textFill>
        </w:rPr>
      </w:pPr>
    </w:p>
    <w:p>
      <w:pPr>
        <w:spacing w:line="420" w:lineRule="exact"/>
        <w:rPr>
          <w:bCs/>
          <w:sz w:val="24"/>
          <w:highlight w:val="yellow"/>
        </w:rPr>
      </w:pPr>
      <w:bookmarkStart w:id="10" w:name="_Toc436296061"/>
    </w:p>
    <w:p>
      <w:pPr>
        <w:spacing w:line="360" w:lineRule="exact"/>
        <w:ind w:firstLine="480" w:firstLineChars="200"/>
        <w:rPr>
          <w:sz w:val="24"/>
          <w:szCs w:val="28"/>
        </w:rPr>
      </w:pPr>
      <w:r>
        <w:rPr>
          <w:sz w:val="24"/>
          <w:szCs w:val="28"/>
        </w:rPr>
        <w:t>LOGO释义：</w:t>
      </w:r>
    </w:p>
    <w:p>
      <w:pPr>
        <w:spacing w:line="360" w:lineRule="exact"/>
        <w:ind w:firstLine="480" w:firstLineChars="200"/>
        <w:rPr>
          <w:sz w:val="24"/>
          <w:szCs w:val="28"/>
        </w:rPr>
      </w:pPr>
      <w:r>
        <w:rPr>
          <w:sz w:val="24"/>
          <w:szCs w:val="28"/>
        </w:rPr>
        <w:t>“C”代表“CHINA中国”的第一个英文字母，意为面向全国，走向世界，为客户提供优质服务。</w:t>
      </w:r>
    </w:p>
    <w:p>
      <w:pPr>
        <w:spacing w:line="360" w:lineRule="exact"/>
        <w:ind w:firstLine="480" w:firstLineChars="200"/>
        <w:rPr>
          <w:sz w:val="24"/>
          <w:szCs w:val="28"/>
        </w:rPr>
      </w:pPr>
      <w:r>
        <w:rPr>
          <w:sz w:val="24"/>
          <w:szCs w:val="28"/>
        </w:rPr>
        <w:t>“SUN”代表“阳光”，意为公开公正、光明正大的经营理念。</w:t>
      </w:r>
    </w:p>
    <w:p>
      <w:pPr>
        <w:spacing w:line="360" w:lineRule="exact"/>
        <w:ind w:firstLine="480" w:firstLineChars="200"/>
        <w:rPr>
          <w:bCs/>
          <w:sz w:val="24"/>
        </w:rPr>
      </w:pPr>
      <w:r>
        <w:rPr>
          <w:sz w:val="24"/>
          <w:szCs w:val="28"/>
        </w:rPr>
        <w:t>通观总体构图，中盛以公正服务迎市场需求、用严谨务实建专业团队、靠规范运作树行业品牌，打造成为具有一流权威的国际标准管理体系认证服务机构之</w:t>
      </w:r>
      <w:r>
        <w:rPr>
          <w:sz w:val="28"/>
        </w:rPr>
        <w:t>一。</w:t>
      </w:r>
      <w:r>
        <w:rPr>
          <w:bCs/>
          <w:sz w:val="24"/>
        </w:rPr>
        <w:t> </w:t>
      </w:r>
    </w:p>
    <w:bookmarkEnd w:id="10"/>
    <w:p>
      <w:pPr>
        <w:ind w:firstLine="560" w:firstLineChars="200"/>
        <w:rPr>
          <w:sz w:val="28"/>
        </w:rPr>
      </w:pPr>
    </w:p>
    <w:p>
      <w:pPr>
        <w:rPr>
          <w:highlight w:val="none"/>
        </w:rPr>
      </w:pPr>
      <w:bookmarkStart w:id="11" w:name="_Toc52890885"/>
      <w:r>
        <w:rPr>
          <w:sz w:val="24"/>
          <w:highlight w:val="none"/>
        </w:rPr>
        <w:t>1.3联系我们</w:t>
      </w:r>
      <w:bookmarkEnd w:id="11"/>
    </w:p>
    <w:p>
      <w:pPr>
        <w:spacing w:line="360" w:lineRule="exact"/>
        <w:ind w:firstLine="336" w:firstLineChars="140"/>
        <w:rPr>
          <w:sz w:val="24"/>
          <w:szCs w:val="28"/>
        </w:rPr>
      </w:pPr>
      <w:r>
        <w:rPr>
          <w:sz w:val="24"/>
          <w:szCs w:val="28"/>
        </w:rPr>
        <w:t>公司名称：深圳市中盛认证有限公司</w:t>
      </w:r>
    </w:p>
    <w:p>
      <w:pPr>
        <w:spacing w:line="360" w:lineRule="exact"/>
        <w:ind w:firstLine="336" w:firstLineChars="140"/>
        <w:rPr>
          <w:sz w:val="24"/>
          <w:szCs w:val="28"/>
        </w:rPr>
      </w:pPr>
      <w:r>
        <w:rPr>
          <w:sz w:val="24"/>
          <w:szCs w:val="28"/>
        </w:rPr>
        <w:t>地址：深圳市光明区凤凰塘尾社区南太云创谷2栋1507</w:t>
      </w:r>
    </w:p>
    <w:p>
      <w:pPr>
        <w:spacing w:line="360" w:lineRule="exact"/>
        <w:ind w:firstLine="336" w:firstLineChars="140"/>
        <w:rPr>
          <w:sz w:val="24"/>
          <w:szCs w:val="28"/>
        </w:rPr>
      </w:pPr>
      <w:r>
        <w:rPr>
          <w:sz w:val="24"/>
          <w:szCs w:val="28"/>
        </w:rPr>
        <w:t>电话：0755-23243271</w:t>
      </w:r>
    </w:p>
    <w:p>
      <w:pPr>
        <w:spacing w:line="360" w:lineRule="exact"/>
        <w:ind w:firstLine="336" w:firstLineChars="140"/>
        <w:rPr>
          <w:sz w:val="24"/>
        </w:rPr>
      </w:pPr>
      <w:r>
        <w:rPr>
          <w:sz w:val="24"/>
          <w:szCs w:val="28"/>
        </w:rPr>
        <w:t>网址：WWW.ZS-CERT.COM</w:t>
      </w:r>
    </w:p>
    <w:p>
      <w:pPr>
        <w:spacing w:line="360" w:lineRule="auto"/>
        <w:jc w:val="center"/>
        <w:rPr>
          <w:b/>
          <w:spacing w:val="32"/>
          <w:sz w:val="32"/>
          <w:szCs w:val="32"/>
        </w:rPr>
      </w:pPr>
    </w:p>
    <w:p>
      <w:pPr>
        <w:widowControl/>
        <w:spacing w:before="100" w:beforeAutospacing="1" w:after="100" w:afterAutospacing="1" w:line="360" w:lineRule="auto"/>
        <w:jc w:val="left"/>
        <w:rPr>
          <w:rFonts w:eastAsia="华文中宋"/>
          <w:kern w:val="0"/>
          <w:sz w:val="24"/>
        </w:rPr>
      </w:pPr>
    </w:p>
    <w:p>
      <w:pPr>
        <w:pStyle w:val="2"/>
        <w:spacing w:before="120" w:after="120"/>
      </w:pPr>
      <w:bookmarkStart w:id="12" w:name="_Toc465002740"/>
      <w:bookmarkStart w:id="13" w:name="_Toc52956245"/>
      <w:bookmarkStart w:id="14" w:name="_Toc52892261"/>
      <w:bookmarkStart w:id="15" w:name="_Toc52890886"/>
      <w:bookmarkStart w:id="16" w:name="_Toc26084"/>
      <w:bookmarkStart w:id="17" w:name="_Toc53087554"/>
      <w:r>
        <w:t>2.0质量方针</w:t>
      </w:r>
      <w:bookmarkEnd w:id="12"/>
      <w:r>
        <w:t>/质量目标</w:t>
      </w:r>
      <w:bookmarkEnd w:id="13"/>
      <w:bookmarkEnd w:id="14"/>
      <w:bookmarkEnd w:id="15"/>
      <w:bookmarkEnd w:id="16"/>
      <w:bookmarkEnd w:id="17"/>
    </w:p>
    <w:p>
      <w:pPr>
        <w:spacing w:before="120" w:beforeLines="50" w:line="400" w:lineRule="exact"/>
        <w:rPr>
          <w:rFonts w:eastAsiaTheme="minorEastAsia"/>
          <w:b/>
          <w:bCs/>
          <w:color w:val="000000" w:themeColor="text1"/>
          <w:sz w:val="24"/>
          <w14:textFill>
            <w14:solidFill>
              <w14:schemeClr w14:val="tx1"/>
            </w14:solidFill>
          </w14:textFill>
        </w:rPr>
      </w:pPr>
      <w:r>
        <w:rPr>
          <w:rFonts w:eastAsiaTheme="minorEastAsia"/>
          <w:b/>
          <w:bCs/>
          <w:sz w:val="24"/>
        </w:rPr>
        <w:t>2.1质量方针——</w:t>
      </w:r>
      <w:r>
        <w:rPr>
          <w:rFonts w:eastAsiaTheme="minorEastAsia"/>
          <w:b/>
          <w:bCs/>
          <w:color w:val="000000" w:themeColor="text1"/>
          <w:sz w:val="24"/>
          <w14:textFill>
            <w14:solidFill>
              <w14:schemeClr w14:val="tx1"/>
            </w14:solidFill>
          </w14:textFill>
        </w:rPr>
        <w:t>合规经营、公正服务、关注顾客、规范运作</w:t>
      </w:r>
    </w:p>
    <w:p>
      <w:pPr>
        <w:spacing w:line="400" w:lineRule="exact"/>
        <w:rPr>
          <w:sz w:val="24"/>
        </w:rPr>
      </w:pPr>
      <w:r>
        <w:rPr>
          <w:sz w:val="24"/>
        </w:rPr>
        <w:t>本公司将确保：</w:t>
      </w:r>
    </w:p>
    <w:p>
      <w:pPr>
        <w:numPr>
          <w:ilvl w:val="0"/>
          <w:numId w:val="1"/>
        </w:numPr>
        <w:spacing w:line="400" w:lineRule="exact"/>
        <w:ind w:left="900" w:leftChars="200" w:hanging="480" w:hangingChars="200"/>
        <w:rPr>
          <w:sz w:val="24"/>
        </w:rPr>
      </w:pPr>
      <w:r>
        <w:rPr>
          <w:sz w:val="24"/>
        </w:rPr>
        <w:t>公正性：充分识别各利益相关方，确保聘用的审核员/审查员、技术专家、认证决定人员与被审核组织无经济、行政等利益关系；确保不接受来自相关机构推荐的组织申请；确保独立签署认证合同；公司全部人员不做咨询，不对单一企业培训，对可能发生的预审核严格执行程序规定；</w:t>
      </w:r>
    </w:p>
    <w:p>
      <w:pPr>
        <w:numPr>
          <w:ilvl w:val="0"/>
          <w:numId w:val="1"/>
        </w:numPr>
        <w:spacing w:line="400" w:lineRule="exact"/>
        <w:ind w:left="900" w:leftChars="200" w:hanging="480" w:hangingChars="200"/>
        <w:rPr>
          <w:sz w:val="24"/>
        </w:rPr>
      </w:pPr>
      <w:r>
        <w:rPr>
          <w:sz w:val="24"/>
        </w:rPr>
        <w:t>规范性：遵守认可委发布的各项认可规范；</w:t>
      </w:r>
    </w:p>
    <w:p>
      <w:pPr>
        <w:numPr>
          <w:ilvl w:val="0"/>
          <w:numId w:val="1"/>
        </w:numPr>
        <w:spacing w:line="400" w:lineRule="exact"/>
        <w:ind w:left="900" w:leftChars="200" w:hanging="480" w:hangingChars="200"/>
        <w:rPr>
          <w:sz w:val="24"/>
        </w:rPr>
      </w:pPr>
      <w:r>
        <w:rPr>
          <w:sz w:val="24"/>
        </w:rPr>
        <w:t>有效性：控制审核员/审查员及技术专家的专业能力评定及管理，确保人员基本素质和能力及遵守保密要求；控制审核组派出，确保审核组的有效性；按程序要求进行认证、监督、再认证，确保现场审核有效性；控制审核档案质量，基于对足够的客观证据进行评价的基础上做出认证决定，确保认证决定有效性；强调管理体系认证实施的有效性，对管理体系认证实施过程有关活动的监督与管理。对获证组织进行监督管理，力争达到经中盛公司审核的多数组织，其产品或服务质量及顾客满意度有明显提高。</w:t>
      </w:r>
    </w:p>
    <w:p>
      <w:pPr>
        <w:numPr>
          <w:ilvl w:val="0"/>
          <w:numId w:val="1"/>
        </w:numPr>
        <w:spacing w:line="400" w:lineRule="exact"/>
        <w:ind w:left="900" w:leftChars="200" w:hanging="480" w:hangingChars="200"/>
        <w:rPr>
          <w:sz w:val="24"/>
        </w:rPr>
      </w:pPr>
      <w:r>
        <w:rPr>
          <w:sz w:val="24"/>
        </w:rPr>
        <w:t>关注顾客：及时处理客户投诉，持续改进，提升认证服务质量，维护认证可信度。</w:t>
      </w:r>
    </w:p>
    <w:p>
      <w:pPr>
        <w:numPr>
          <w:ilvl w:val="0"/>
          <w:numId w:val="1"/>
        </w:numPr>
        <w:spacing w:line="400" w:lineRule="exact"/>
        <w:ind w:left="900" w:leftChars="200" w:hanging="480" w:hangingChars="200"/>
        <w:rPr>
          <w:b/>
          <w:sz w:val="24"/>
        </w:rPr>
      </w:pPr>
      <w:r>
        <w:rPr>
          <w:sz w:val="24"/>
        </w:rPr>
        <w:t>公开性：向认监委、认可委公开财务状况，保证不因受到外部因素而影响认证机构的独立性和公正性；提供获取有关审核、认证过程、组织认证状态的相关信息，并确保信息的公开性和透明度。</w:t>
      </w:r>
    </w:p>
    <w:p>
      <w:pPr>
        <w:spacing w:line="400" w:lineRule="exact"/>
        <w:jc w:val="left"/>
        <w:rPr>
          <w:b/>
          <w:sz w:val="24"/>
          <w:szCs w:val="28"/>
        </w:rPr>
      </w:pPr>
      <w:r>
        <w:rPr>
          <w:b/>
          <w:sz w:val="24"/>
          <w:szCs w:val="28"/>
        </w:rPr>
        <w:t>2.2质量目标</w:t>
      </w:r>
    </w:p>
    <w:p>
      <w:pPr>
        <w:spacing w:line="400" w:lineRule="exact"/>
        <w:jc w:val="left"/>
        <w:rPr>
          <w:b/>
          <w:sz w:val="24"/>
          <w:szCs w:val="28"/>
        </w:rPr>
      </w:pPr>
    </w:p>
    <w:p>
      <w:pPr>
        <w:numPr>
          <w:ilvl w:val="0"/>
          <w:numId w:val="2"/>
        </w:numPr>
        <w:spacing w:line="400" w:lineRule="exact"/>
        <w:ind w:firstLine="480" w:firstLineChars="200"/>
        <w:rPr>
          <w:sz w:val="24"/>
          <w:highlight w:val="none"/>
        </w:rPr>
      </w:pPr>
      <w:r>
        <w:rPr>
          <w:rFonts w:hint="eastAsia"/>
          <w:sz w:val="24"/>
          <w:highlight w:val="none"/>
        </w:rPr>
        <w:t>获证客户有效申诉/投诉率＜1.0%</w:t>
      </w:r>
      <w:r>
        <w:rPr>
          <w:sz w:val="24"/>
          <w:highlight w:val="none"/>
        </w:rPr>
        <w:t xml:space="preserve">； </w:t>
      </w:r>
    </w:p>
    <w:p>
      <w:pPr>
        <w:numPr>
          <w:ilvl w:val="0"/>
          <w:numId w:val="2"/>
        </w:numPr>
        <w:spacing w:line="400" w:lineRule="exact"/>
        <w:ind w:left="0" w:leftChars="0" w:firstLine="480" w:firstLineChars="200"/>
        <w:rPr>
          <w:sz w:val="24"/>
          <w:highlight w:val="none"/>
        </w:rPr>
      </w:pPr>
      <w:r>
        <w:rPr>
          <w:rFonts w:hint="eastAsia"/>
          <w:sz w:val="24"/>
          <w:highlight w:val="none"/>
        </w:rPr>
        <w:t>获证客户满意度</w:t>
      </w:r>
      <w:r>
        <w:rPr>
          <w:sz w:val="24"/>
          <w:highlight w:val="none"/>
        </w:rPr>
        <w:t>≥9</w:t>
      </w:r>
      <w:r>
        <w:rPr>
          <w:rFonts w:hint="eastAsia"/>
          <w:sz w:val="24"/>
          <w:highlight w:val="none"/>
          <w:lang w:val="en-US" w:eastAsia="zh-CN"/>
        </w:rPr>
        <w:t>8</w:t>
      </w:r>
      <w:r>
        <w:rPr>
          <w:sz w:val="24"/>
          <w:highlight w:val="none"/>
        </w:rPr>
        <w:t>%；</w:t>
      </w:r>
    </w:p>
    <w:p>
      <w:pPr>
        <w:numPr>
          <w:ilvl w:val="0"/>
          <w:numId w:val="2"/>
        </w:numPr>
        <w:spacing w:line="400" w:lineRule="exact"/>
        <w:ind w:left="0" w:leftChars="0" w:firstLine="480" w:firstLineChars="200"/>
        <w:rPr>
          <w:sz w:val="24"/>
          <w:highlight w:val="none"/>
        </w:rPr>
      </w:pPr>
      <w:r>
        <w:rPr>
          <w:rFonts w:hint="eastAsia"/>
          <w:sz w:val="24"/>
          <w:highlight w:val="none"/>
        </w:rPr>
        <w:t>收集的重大信息及时处理率 100%</w:t>
      </w:r>
      <w:r>
        <w:rPr>
          <w:sz w:val="24"/>
          <w:highlight w:val="none"/>
        </w:rPr>
        <w:t>；</w:t>
      </w:r>
    </w:p>
    <w:p>
      <w:pPr>
        <w:numPr>
          <w:ilvl w:val="0"/>
          <w:numId w:val="2"/>
        </w:numPr>
        <w:spacing w:line="400" w:lineRule="exact"/>
        <w:ind w:left="0" w:leftChars="0" w:firstLine="480" w:firstLineChars="200"/>
        <w:rPr>
          <w:sz w:val="24"/>
          <w:highlight w:val="none"/>
        </w:rPr>
      </w:pPr>
      <w:r>
        <w:rPr>
          <w:sz w:val="24"/>
          <w:highlight w:val="none"/>
        </w:rPr>
        <w:t xml:space="preserve">分解目标见各部门KPI。 </w:t>
      </w:r>
    </w:p>
    <w:p>
      <w:pPr>
        <w:spacing w:line="400" w:lineRule="exact"/>
        <w:ind w:left="480"/>
        <w:rPr>
          <w:sz w:val="24"/>
        </w:rPr>
      </w:pPr>
    </w:p>
    <w:p>
      <w:pPr>
        <w:pStyle w:val="2"/>
        <w:spacing w:before="120" w:after="120"/>
      </w:pPr>
      <w:bookmarkStart w:id="18" w:name="_Toc53087555"/>
      <w:r>
        <w:t>3.0公正性和保密承诺</w:t>
      </w:r>
      <w:bookmarkEnd w:id="18"/>
    </w:p>
    <w:p>
      <w:pPr>
        <w:spacing w:line="380" w:lineRule="exact"/>
        <w:ind w:firstLine="482" w:firstLineChars="200"/>
        <w:rPr>
          <w:b/>
          <w:sz w:val="24"/>
        </w:rPr>
      </w:pPr>
      <w:r>
        <w:rPr>
          <w:b/>
          <w:sz w:val="24"/>
        </w:rPr>
        <w:t>为确保认证活动的规范性和有效性，深圳市中盛认证有限公司郑重承诺：</w:t>
      </w:r>
    </w:p>
    <w:p>
      <w:pPr>
        <w:spacing w:line="380" w:lineRule="exact"/>
        <w:rPr>
          <w:b/>
          <w:bCs/>
          <w:sz w:val="24"/>
        </w:rPr>
      </w:pPr>
      <w:r>
        <w:rPr>
          <w:b/>
          <w:bCs/>
          <w:sz w:val="24"/>
        </w:rPr>
        <w:t>3.1公正性</w:t>
      </w:r>
    </w:p>
    <w:p>
      <w:pPr>
        <w:spacing w:line="380" w:lineRule="exact"/>
        <w:ind w:left="752" w:leftChars="203" w:hanging="326" w:hangingChars="136"/>
        <w:rPr>
          <w:sz w:val="24"/>
        </w:rPr>
      </w:pPr>
      <w:r>
        <w:rPr>
          <w:sz w:val="24"/>
        </w:rPr>
        <w:t>a）认证服务向所有的申请组织开放，不附加任何不正当的财务或其它条件。</w:t>
      </w:r>
    </w:p>
    <w:p>
      <w:pPr>
        <w:spacing w:line="380" w:lineRule="exact"/>
        <w:ind w:left="752" w:leftChars="203" w:hanging="326" w:hangingChars="136"/>
        <w:rPr>
          <w:sz w:val="24"/>
        </w:rPr>
      </w:pPr>
      <w:r>
        <w:rPr>
          <w:sz w:val="24"/>
        </w:rPr>
        <w:t>b）公示已获得的认证领域和收费标准。</w:t>
      </w:r>
    </w:p>
    <w:p>
      <w:pPr>
        <w:spacing w:line="380" w:lineRule="exact"/>
        <w:ind w:left="752" w:leftChars="203" w:hanging="326" w:hangingChars="136"/>
        <w:rPr>
          <w:sz w:val="24"/>
        </w:rPr>
      </w:pPr>
      <w:r>
        <w:rPr>
          <w:sz w:val="24"/>
        </w:rPr>
        <w:t>c）仅在已获得的认证领域内提供认证服务。</w:t>
      </w:r>
    </w:p>
    <w:p>
      <w:pPr>
        <w:spacing w:line="380" w:lineRule="exact"/>
        <w:ind w:left="752" w:leftChars="203" w:hanging="326" w:hangingChars="136"/>
        <w:rPr>
          <w:sz w:val="24"/>
        </w:rPr>
      </w:pPr>
      <w:r>
        <w:rPr>
          <w:sz w:val="24"/>
        </w:rPr>
        <w:t>d）认证审核遵守的准则是管理体系标准和中盛认证规定。</w:t>
      </w:r>
    </w:p>
    <w:p>
      <w:pPr>
        <w:spacing w:line="380" w:lineRule="exact"/>
        <w:ind w:left="752" w:leftChars="203" w:hanging="326" w:hangingChars="136"/>
        <w:rPr>
          <w:sz w:val="24"/>
        </w:rPr>
      </w:pPr>
      <w:r>
        <w:rPr>
          <w:sz w:val="24"/>
        </w:rPr>
        <w:t>e）不提供任何形式的认证咨询服务。</w:t>
      </w:r>
    </w:p>
    <w:p>
      <w:pPr>
        <w:spacing w:line="380" w:lineRule="exact"/>
        <w:ind w:left="752" w:leftChars="203" w:hanging="326" w:hangingChars="136"/>
        <w:rPr>
          <w:sz w:val="24"/>
        </w:rPr>
      </w:pPr>
      <w:r>
        <w:rPr>
          <w:sz w:val="24"/>
        </w:rPr>
        <w:t>f）审核员不从事认证咨询服务，不接受任何礼品、礼金，不参加消费性的娱乐活动和宴请。</w:t>
      </w:r>
    </w:p>
    <w:p>
      <w:pPr>
        <w:spacing w:line="380" w:lineRule="exact"/>
        <w:ind w:left="752" w:leftChars="203" w:hanging="326" w:hangingChars="136"/>
        <w:rPr>
          <w:sz w:val="24"/>
        </w:rPr>
      </w:pPr>
      <w:r>
        <w:rPr>
          <w:sz w:val="24"/>
        </w:rPr>
        <w:t>g）不从事影响认证公正性的产品开发和商业活动。</w:t>
      </w:r>
    </w:p>
    <w:p>
      <w:pPr>
        <w:spacing w:line="380" w:lineRule="exact"/>
        <w:ind w:firstLine="410" w:firstLineChars="171"/>
        <w:rPr>
          <w:sz w:val="24"/>
        </w:rPr>
      </w:pPr>
    </w:p>
    <w:p>
      <w:pPr>
        <w:spacing w:line="380" w:lineRule="exact"/>
        <w:rPr>
          <w:b/>
          <w:bCs/>
          <w:sz w:val="24"/>
        </w:rPr>
      </w:pPr>
      <w:r>
        <w:rPr>
          <w:b/>
          <w:bCs/>
          <w:sz w:val="24"/>
        </w:rPr>
        <w:t>3.2保密</w:t>
      </w:r>
    </w:p>
    <w:p>
      <w:pPr>
        <w:spacing w:line="380" w:lineRule="exact"/>
        <w:ind w:left="752" w:leftChars="203" w:hanging="326" w:hangingChars="136"/>
        <w:rPr>
          <w:sz w:val="24"/>
        </w:rPr>
      </w:pPr>
      <w:r>
        <w:rPr>
          <w:sz w:val="24"/>
        </w:rPr>
        <w:t>a）全体成员遵守公司《保密管理程序》，对从事认证活动时获得的或产生的客户的经营管理、技术等专有信息予以保密。</w:t>
      </w:r>
    </w:p>
    <w:p>
      <w:pPr>
        <w:spacing w:line="380" w:lineRule="exact"/>
        <w:ind w:left="769" w:leftChars="366"/>
        <w:rPr>
          <w:sz w:val="24"/>
        </w:rPr>
      </w:pPr>
      <w:r>
        <w:rPr>
          <w:sz w:val="24"/>
        </w:rPr>
        <w:t>客户专有信息包括：</w:t>
      </w:r>
    </w:p>
    <w:p>
      <w:pPr>
        <w:numPr>
          <w:ilvl w:val="0"/>
          <w:numId w:val="3"/>
        </w:numPr>
        <w:spacing w:line="380" w:lineRule="exact"/>
        <w:ind w:left="1260"/>
        <w:rPr>
          <w:sz w:val="24"/>
        </w:rPr>
      </w:pPr>
      <w:r>
        <w:rPr>
          <w:sz w:val="24"/>
        </w:rPr>
        <w:t>申请组织提供的申请资料及文件；</w:t>
      </w:r>
    </w:p>
    <w:p>
      <w:pPr>
        <w:numPr>
          <w:ilvl w:val="0"/>
          <w:numId w:val="3"/>
        </w:numPr>
        <w:spacing w:line="380" w:lineRule="exact"/>
        <w:ind w:left="1260"/>
        <w:rPr>
          <w:sz w:val="24"/>
        </w:rPr>
      </w:pPr>
      <w:r>
        <w:rPr>
          <w:sz w:val="24"/>
        </w:rPr>
        <w:t>认证活动中所获得的有关信息；</w:t>
      </w:r>
    </w:p>
    <w:p>
      <w:pPr>
        <w:numPr>
          <w:ilvl w:val="0"/>
          <w:numId w:val="3"/>
        </w:numPr>
        <w:spacing w:line="380" w:lineRule="exact"/>
        <w:ind w:left="1260"/>
        <w:rPr>
          <w:sz w:val="24"/>
        </w:rPr>
      </w:pPr>
      <w:r>
        <w:rPr>
          <w:sz w:val="24"/>
        </w:rPr>
        <w:t>申请组织、获证客户档案；</w:t>
      </w:r>
    </w:p>
    <w:p>
      <w:pPr>
        <w:numPr>
          <w:ilvl w:val="0"/>
          <w:numId w:val="3"/>
        </w:numPr>
        <w:spacing w:line="380" w:lineRule="exact"/>
        <w:ind w:left="1260"/>
        <w:rPr>
          <w:sz w:val="24"/>
        </w:rPr>
      </w:pPr>
      <w:r>
        <w:rPr>
          <w:sz w:val="24"/>
        </w:rPr>
        <w:t>其它专门确定的保密信息，包括国家认证监督管理部门、投诉人提供的有关客户的信息。</w:t>
      </w:r>
    </w:p>
    <w:p>
      <w:pPr>
        <w:spacing w:line="380" w:lineRule="exact"/>
        <w:ind w:left="752" w:leftChars="203" w:hanging="326" w:hangingChars="136"/>
        <w:rPr>
          <w:sz w:val="24"/>
        </w:rPr>
      </w:pPr>
      <w:r>
        <w:rPr>
          <w:sz w:val="24"/>
        </w:rPr>
        <w:t>b）需向公众公开的获证客户信息，包括获证客户的名称、相关认证标准、认证范围和地址或多场所认证范围内总部和所有场所的地址及其认证状态的信息。</w:t>
      </w:r>
    </w:p>
    <w:p>
      <w:pPr>
        <w:spacing w:line="380" w:lineRule="exact"/>
        <w:ind w:left="752" w:leftChars="203" w:hanging="326" w:hangingChars="136"/>
        <w:rPr>
          <w:sz w:val="24"/>
        </w:rPr>
      </w:pPr>
      <w:r>
        <w:rPr>
          <w:sz w:val="24"/>
        </w:rPr>
        <w:t>c）客户的专有信息未经其书面同意，不向第三方披露。当法律法规要求时，除法律限制外，提前将拟向第三方提供的客户专有信息通知相关客户。</w:t>
      </w:r>
    </w:p>
    <w:p>
      <w:pPr>
        <w:spacing w:line="380" w:lineRule="exact"/>
        <w:ind w:firstLine="720" w:firstLineChars="300"/>
        <w:rPr>
          <w:sz w:val="24"/>
        </w:rPr>
      </w:pPr>
      <w:r>
        <w:rPr>
          <w:sz w:val="24"/>
        </w:rPr>
        <w:t>注：本文件可在</w:t>
      </w:r>
      <w:r>
        <w:rPr>
          <w:sz w:val="24"/>
        </w:rPr>
        <w:fldChar w:fldCharType="begin"/>
      </w:r>
      <w:r>
        <w:rPr>
          <w:sz w:val="24"/>
        </w:rPr>
        <w:instrText xml:space="preserve"> HYPERLINK "http://www.zs-cert.c</w:instrText>
      </w:r>
      <w:r>
        <w:rPr>
          <w:rFonts w:eastAsia="MS Mincho"/>
          <w:sz w:val="24"/>
          <w:lang w:eastAsia="ja-JP"/>
        </w:rPr>
        <w:instrText xml:space="preserve">om</w:instrText>
      </w:r>
      <w:r>
        <w:rPr>
          <w:sz w:val="24"/>
        </w:rPr>
        <w:instrText xml:space="preserve">" </w:instrText>
      </w:r>
      <w:r>
        <w:rPr>
          <w:sz w:val="24"/>
        </w:rPr>
        <w:fldChar w:fldCharType="separate"/>
      </w:r>
      <w:r>
        <w:rPr>
          <w:rStyle w:val="38"/>
          <w:sz w:val="24"/>
        </w:rPr>
        <w:t>www.zs-cert.c</w:t>
      </w:r>
      <w:r>
        <w:rPr>
          <w:rStyle w:val="38"/>
          <w:rFonts w:eastAsia="MS Mincho"/>
          <w:sz w:val="24"/>
          <w:lang w:eastAsia="ja-JP"/>
        </w:rPr>
        <w:t>om</w:t>
      </w:r>
      <w:r>
        <w:rPr>
          <w:sz w:val="24"/>
        </w:rPr>
        <w:fldChar w:fldCharType="end"/>
      </w:r>
      <w:r>
        <w:rPr>
          <w:sz w:val="24"/>
        </w:rPr>
        <w:t>网站“</w:t>
      </w:r>
      <w:r>
        <w:rPr>
          <w:rFonts w:hint="eastAsia"/>
          <w:sz w:val="24"/>
          <w:lang w:val="en-US" w:eastAsia="zh-CN"/>
        </w:rPr>
        <w:t>资料下载</w:t>
      </w:r>
      <w:r>
        <w:rPr>
          <w:sz w:val="24"/>
        </w:rPr>
        <w:t>”</w:t>
      </w:r>
      <w:r>
        <w:rPr>
          <w:rFonts w:hint="eastAsia"/>
          <w:sz w:val="24"/>
          <w:lang w:val="en-US" w:eastAsia="zh-CN"/>
        </w:rPr>
        <w:t xml:space="preserve">-公开文件 </w:t>
      </w:r>
      <w:r>
        <w:rPr>
          <w:sz w:val="24"/>
        </w:rPr>
        <w:t>栏查询获取。</w:t>
      </w:r>
    </w:p>
    <w:p>
      <w:pPr>
        <w:spacing w:line="380" w:lineRule="exact"/>
        <w:ind w:firstLine="435"/>
        <w:rPr>
          <w:sz w:val="24"/>
        </w:rPr>
      </w:pPr>
    </w:p>
    <w:p>
      <w:pPr>
        <w:pStyle w:val="2"/>
        <w:spacing w:before="120" w:after="120"/>
        <w:rPr>
          <w:rStyle w:val="58"/>
          <w:b/>
          <w:bCs/>
          <w:szCs w:val="44"/>
        </w:rPr>
      </w:pPr>
      <w:bookmarkStart w:id="19" w:name="_Toc53087556"/>
      <w:r>
        <w:t>4.0管理体系认证程序</w:t>
      </w:r>
      <w:bookmarkEnd w:id="19"/>
    </w:p>
    <w:p>
      <w:pPr>
        <w:spacing w:line="380" w:lineRule="exact"/>
        <w:rPr>
          <w:b/>
          <w:bCs/>
          <w:sz w:val="24"/>
        </w:rPr>
      </w:pPr>
      <w:r>
        <w:rPr>
          <w:b/>
          <w:bCs/>
          <w:sz w:val="24"/>
        </w:rPr>
        <w:t>4.1.申请的受理</w:t>
      </w:r>
    </w:p>
    <w:p>
      <w:pPr>
        <w:spacing w:line="380" w:lineRule="exact"/>
        <w:ind w:left="600" w:hanging="600" w:hangingChars="250"/>
        <w:rPr>
          <w:sz w:val="24"/>
        </w:rPr>
      </w:pPr>
      <w:r>
        <w:rPr>
          <w:sz w:val="24"/>
        </w:rPr>
        <w:t>4.1.1 申请方可直接与市场部联系，了解有关认证程序和事项，索取有关公开文件，提出认证意向。</w:t>
      </w:r>
    </w:p>
    <w:p>
      <w:pPr>
        <w:spacing w:line="380" w:lineRule="exact"/>
        <w:ind w:left="600" w:hanging="600" w:hangingChars="250"/>
        <w:rPr>
          <w:sz w:val="24"/>
        </w:rPr>
      </w:pPr>
      <w:r>
        <w:rPr>
          <w:sz w:val="24"/>
        </w:rPr>
        <w:t>4.1.2 市场部对申请范围属于公司业务范围，则提供认证申请表，不属于公司业务范围则予以答复。</w:t>
      </w:r>
    </w:p>
    <w:p>
      <w:pPr>
        <w:spacing w:line="380" w:lineRule="exact"/>
        <w:ind w:left="600" w:hanging="600" w:hangingChars="250"/>
        <w:rPr>
          <w:sz w:val="24"/>
        </w:rPr>
      </w:pPr>
      <w:r>
        <w:rPr>
          <w:sz w:val="24"/>
        </w:rPr>
        <w:t>4.1.3 申请方应提供一份正式的由其授权人员签署的申请表，申请表的填写应按要求真实完整地填写，并提供评审所需资料。不真实的信息，将影响认证的公正性和有效性，由此引起的责任应由申请方承担。</w:t>
      </w:r>
    </w:p>
    <w:p>
      <w:pPr>
        <w:spacing w:line="380" w:lineRule="exact"/>
        <w:rPr>
          <w:sz w:val="24"/>
        </w:rPr>
      </w:pPr>
    </w:p>
    <w:p>
      <w:pPr>
        <w:spacing w:line="380" w:lineRule="exact"/>
        <w:rPr>
          <w:b/>
          <w:bCs/>
          <w:sz w:val="24"/>
        </w:rPr>
      </w:pPr>
      <w:r>
        <w:rPr>
          <w:b/>
          <w:bCs/>
          <w:sz w:val="24"/>
        </w:rPr>
        <w:t>4.2.申请评审</w:t>
      </w:r>
    </w:p>
    <w:p>
      <w:pPr>
        <w:spacing w:line="380" w:lineRule="exact"/>
        <w:rPr>
          <w:bCs/>
          <w:sz w:val="24"/>
        </w:rPr>
      </w:pPr>
      <w:r>
        <w:rPr>
          <w:bCs/>
          <w:sz w:val="24"/>
        </w:rPr>
        <w:t>4.2.1 运营部对认证申请及相关信息进行评审，申请人应提供以下资料：</w:t>
      </w:r>
    </w:p>
    <w:p>
      <w:pPr>
        <w:spacing w:line="380" w:lineRule="exact"/>
        <w:ind w:left="600" w:hanging="600" w:hangingChars="250"/>
        <w:rPr>
          <w:sz w:val="24"/>
        </w:rPr>
      </w:pPr>
      <w:r>
        <w:rPr>
          <w:sz w:val="24"/>
        </w:rPr>
        <w:t>4.2.1.1管理体系手册、企业简介、营业执照及相关资料，产品/服务流程、多场所、临时场所信息。</w:t>
      </w:r>
    </w:p>
    <w:p>
      <w:pPr>
        <w:spacing w:line="380" w:lineRule="exact"/>
        <w:ind w:left="600" w:hanging="600" w:hangingChars="250"/>
        <w:rPr>
          <w:sz w:val="24"/>
        </w:rPr>
      </w:pPr>
      <w:r>
        <w:rPr>
          <w:sz w:val="24"/>
        </w:rPr>
        <w:t>4.2.1.2申请环境、职业健康安全管理体系认证，还需根据企业的认证需求及实际经营业务，提供环境因素、危险源清单、区域（活动）平面布置图、区域管网（排污）示意图，环评报告/环评备案、安全评价报告/消防验收报告、“三同时”验收及适宜的法律法规清单等，不同的企业要求会有差异，具体与项目受理事先沟通。</w:t>
      </w:r>
    </w:p>
    <w:p>
      <w:pPr>
        <w:spacing w:line="380" w:lineRule="exact"/>
        <w:rPr>
          <w:bCs/>
          <w:sz w:val="24"/>
        </w:rPr>
      </w:pPr>
      <w:r>
        <w:rPr>
          <w:bCs/>
          <w:sz w:val="24"/>
        </w:rPr>
        <w:t>4.2.2 评审完成后双方签订管理体系认证合同书。</w:t>
      </w:r>
    </w:p>
    <w:p>
      <w:pPr>
        <w:spacing w:line="380" w:lineRule="exact"/>
        <w:rPr>
          <w:sz w:val="24"/>
        </w:rPr>
      </w:pPr>
    </w:p>
    <w:p>
      <w:pPr>
        <w:spacing w:line="380" w:lineRule="exact"/>
        <w:rPr>
          <w:b/>
          <w:bCs/>
          <w:sz w:val="24"/>
        </w:rPr>
      </w:pPr>
      <w:r>
        <w:rPr>
          <w:b/>
          <w:bCs/>
          <w:sz w:val="24"/>
        </w:rPr>
        <w:t>4.3.管理体系审核</w:t>
      </w:r>
    </w:p>
    <w:p>
      <w:pPr>
        <w:spacing w:line="380" w:lineRule="exact"/>
        <w:ind w:left="600" w:hanging="600" w:hangingChars="250"/>
        <w:rPr>
          <w:sz w:val="24"/>
        </w:rPr>
      </w:pPr>
      <w:r>
        <w:rPr>
          <w:sz w:val="24"/>
        </w:rPr>
        <w:t>4.3.1 正式签订合同后，公司负责组建审核组，在现场审核前通知受审核方，如受审核方对审核组成员有异议，可提出，经双方协商后解决；</w:t>
      </w:r>
    </w:p>
    <w:p>
      <w:pPr>
        <w:spacing w:line="380" w:lineRule="exact"/>
        <w:ind w:left="600" w:hanging="600" w:hangingChars="250"/>
        <w:rPr>
          <w:sz w:val="24"/>
        </w:rPr>
      </w:pPr>
      <w:r>
        <w:rPr>
          <w:sz w:val="24"/>
        </w:rPr>
        <w:t>4.3.2 管理体系初次审核分为两个阶段，即第一阶段（包括文审、大多数在现场进行）和第二阶段对管理体系进行完整审核过程；</w:t>
      </w:r>
    </w:p>
    <w:p>
      <w:pPr>
        <w:spacing w:line="380" w:lineRule="exact"/>
        <w:ind w:left="600" w:hanging="600" w:hangingChars="250"/>
        <w:rPr>
          <w:sz w:val="24"/>
        </w:rPr>
      </w:pPr>
      <w:r>
        <w:rPr>
          <w:sz w:val="24"/>
        </w:rPr>
        <w:t>4.3.3 审核组在现场审核前，对申请方提交的管理体系文件进行审查，对发现的问题以文件审核报告的方式向受审核方提交，申请方应在规定的时间内予以修改，补充和完善，直至文审通过方可进入现场审核；</w:t>
      </w:r>
    </w:p>
    <w:p>
      <w:pPr>
        <w:spacing w:line="380" w:lineRule="exact"/>
        <w:ind w:left="600" w:hanging="600" w:hangingChars="250"/>
        <w:rPr>
          <w:sz w:val="24"/>
        </w:rPr>
      </w:pPr>
      <w:r>
        <w:rPr>
          <w:sz w:val="24"/>
        </w:rPr>
        <w:t>4.3.4 由审核组长负责编制审核计划，在进驻现场审核前，通知受审核方，若有异议，应及时与审核组长沟通；</w:t>
      </w:r>
    </w:p>
    <w:p>
      <w:pPr>
        <w:spacing w:line="380" w:lineRule="exact"/>
        <w:ind w:left="600" w:hanging="600" w:hangingChars="250"/>
        <w:rPr>
          <w:sz w:val="24"/>
        </w:rPr>
      </w:pPr>
      <w:r>
        <w:rPr>
          <w:sz w:val="24"/>
        </w:rPr>
        <w:t>4.3.5 第一阶段审核主要审查受审核方理解和实施标准的情况，了解其产品（服务）范围、组织结构、生产规模、流程、资源配置等信息，评价是否具备二阶段审核的条件，并为第二阶段审核提供关注点，审核组将现场审核发现的问题以清单方式报告受审核方，受审核方应针对问题采取纠正和纠正措施，并提供证实材料，经审核组长验证合格，方可进行第二阶段审核；</w:t>
      </w:r>
    </w:p>
    <w:p>
      <w:pPr>
        <w:spacing w:line="380" w:lineRule="exact"/>
        <w:ind w:left="600" w:hanging="600" w:hangingChars="250"/>
        <w:rPr>
          <w:sz w:val="24"/>
        </w:rPr>
      </w:pPr>
      <w:r>
        <w:rPr>
          <w:sz w:val="24"/>
        </w:rPr>
        <w:t>4.3.6 一阶段审核发现的问题采取纠正和纠正措施后，公司将派审核组实施第二阶段审核。第二阶段审核主要对受审核方管理体系实施情况进行一次全面的审查，评价管理体系的符合性、有效性和满足法律、法规要求的能力。确定是否推荐认证/注册。审核结束后，审核组向受审核方宣布不符合项报告和现场审核结论并提出采取纠正措施的完成时间和要求。</w:t>
      </w:r>
    </w:p>
    <w:p>
      <w:pPr>
        <w:spacing w:line="380" w:lineRule="exact"/>
        <w:ind w:left="600" w:hanging="600" w:hangingChars="250"/>
        <w:rPr>
          <w:sz w:val="24"/>
        </w:rPr>
      </w:pPr>
      <w:r>
        <w:rPr>
          <w:sz w:val="24"/>
        </w:rPr>
        <w:t>4.3.7 现场审核结束后，受审核方应根据审核组的要求，在规定的时间内向公司提供不符合项纠正措施实施结果并附以证实材料，审核组对不符合项纠正措施实施情况进行跟踪验证。</w:t>
      </w:r>
    </w:p>
    <w:p>
      <w:pPr>
        <w:spacing w:line="380" w:lineRule="exact"/>
        <w:rPr>
          <w:sz w:val="24"/>
        </w:rPr>
      </w:pPr>
    </w:p>
    <w:p>
      <w:pPr>
        <w:spacing w:line="380" w:lineRule="exact"/>
        <w:rPr>
          <w:b/>
          <w:bCs/>
          <w:sz w:val="24"/>
        </w:rPr>
      </w:pPr>
      <w:r>
        <w:rPr>
          <w:b/>
          <w:bCs/>
          <w:sz w:val="24"/>
        </w:rPr>
        <w:t>4.4.注册和发证</w:t>
      </w:r>
    </w:p>
    <w:p>
      <w:pPr>
        <w:spacing w:line="380" w:lineRule="exact"/>
        <w:ind w:firstLine="480"/>
        <w:rPr>
          <w:sz w:val="24"/>
        </w:rPr>
      </w:pPr>
      <w:r>
        <w:rPr>
          <w:sz w:val="24"/>
        </w:rPr>
        <w:t>审核结束后，公司技术部依据认证要求和审核发现、审核结论、相关信息进行认证评定并作出结论，由公司总经理批准并签发管理体系认证证书。中盛将定期在网站（</w:t>
      </w:r>
      <w:r>
        <w:rPr>
          <w:sz w:val="24"/>
          <w:u w:val="single"/>
        </w:rPr>
        <w:t>www.zs-cert.com</w:t>
      </w:r>
      <w:r>
        <w:rPr>
          <w:sz w:val="24"/>
        </w:rPr>
        <w:t>）公示获证企业信息。</w:t>
      </w:r>
    </w:p>
    <w:p>
      <w:pPr>
        <w:spacing w:line="380" w:lineRule="exact"/>
        <w:rPr>
          <w:b/>
          <w:bCs/>
          <w:sz w:val="24"/>
        </w:rPr>
      </w:pPr>
      <w:r>
        <w:rPr>
          <w:b/>
          <w:bCs/>
          <w:sz w:val="24"/>
        </w:rPr>
        <w:t>4.5.监督审核</w:t>
      </w:r>
    </w:p>
    <w:p>
      <w:pPr>
        <w:spacing w:line="380" w:lineRule="exact"/>
        <w:ind w:left="600" w:hanging="600" w:hangingChars="250"/>
        <w:rPr>
          <w:sz w:val="24"/>
        </w:rPr>
      </w:pPr>
      <w:r>
        <w:rPr>
          <w:sz w:val="24"/>
        </w:rPr>
        <w:t>4.5.1 证书有效期为三年，在证书有效期内应每年进行一次监督审核，在认证证书到期之前完成再认证审核。监督审核应以证书决定之日为界限，每次到期前的9—12个月之内进行；</w:t>
      </w:r>
      <w:r>
        <w:rPr>
          <w:sz w:val="24"/>
          <w:highlight w:val="none"/>
        </w:rPr>
        <w:t>第二次监督审核时间如超过12月未审，企业应说明延期的原因，最长不得超过15个月，且不能跨日历年。</w:t>
      </w:r>
      <w:r>
        <w:rPr>
          <w:sz w:val="24"/>
        </w:rPr>
        <w:t>企业如不能按期接受公司安排的监督审核，且时间超过12个月，认证/注册资格将被暂停，暂停期间认证证书和标志将暂停使用，并予以网上公示。</w:t>
      </w:r>
    </w:p>
    <w:p>
      <w:pPr>
        <w:spacing w:line="380" w:lineRule="exact"/>
        <w:ind w:left="600" w:hanging="600" w:hangingChars="250"/>
        <w:rPr>
          <w:sz w:val="24"/>
        </w:rPr>
      </w:pPr>
      <w:r>
        <w:rPr>
          <w:sz w:val="24"/>
        </w:rPr>
        <w:t>4.5.2 公司实施年度监督审核确认制度，每次监督审核后，经确认管理体系有效，准予保持认证/注册资格，并按合同规定缴纳认证费用，公司将向获证组织发放审核报告等资料，保持企业证书在中盛网站和国家认监委网站是有效状态。</w:t>
      </w:r>
    </w:p>
    <w:p>
      <w:pPr>
        <w:spacing w:line="380" w:lineRule="exact"/>
        <w:rPr>
          <w:sz w:val="24"/>
        </w:rPr>
      </w:pPr>
    </w:p>
    <w:p>
      <w:pPr>
        <w:spacing w:line="380" w:lineRule="exact"/>
        <w:rPr>
          <w:b/>
          <w:bCs/>
          <w:sz w:val="24"/>
        </w:rPr>
      </w:pPr>
      <w:r>
        <w:rPr>
          <w:b/>
          <w:bCs/>
          <w:sz w:val="24"/>
        </w:rPr>
        <w:t>4.6.再认证（换发认证证书）</w:t>
      </w:r>
    </w:p>
    <w:p>
      <w:pPr>
        <w:spacing w:line="380" w:lineRule="exact"/>
        <w:ind w:firstLine="480" w:firstLineChars="200"/>
        <w:rPr>
          <w:sz w:val="24"/>
        </w:rPr>
      </w:pPr>
      <w:r>
        <w:rPr>
          <w:sz w:val="24"/>
        </w:rPr>
        <w:t>获证客户如需换发认证证书，应在证书有效期满前5个月向中盛重新提出认证申请，公司将对其进行再认证审核，审核通过后换发认证证书。</w:t>
      </w:r>
    </w:p>
    <w:p>
      <w:pPr>
        <w:pStyle w:val="2"/>
        <w:spacing w:before="120" w:after="120"/>
        <w:rPr>
          <w:rStyle w:val="58"/>
          <w:b/>
          <w:bCs w:val="0"/>
          <w:sz w:val="21"/>
          <w:szCs w:val="21"/>
        </w:rPr>
      </w:pPr>
      <w:bookmarkStart w:id="20" w:name="_Toc53087557"/>
      <w:r>
        <w:rPr>
          <w:rStyle w:val="58"/>
          <w:b/>
          <w:bCs w:val="0"/>
        </w:rPr>
        <w:t>5.0认证活动工作流程</w:t>
      </w:r>
      <w:bookmarkEnd w:id="20"/>
    </w:p>
    <w:p>
      <w:pPr>
        <w:spacing w:line="360" w:lineRule="auto"/>
        <w:jc w:val="center"/>
      </w:pPr>
      <w:r>
        <w:drawing>
          <wp:inline distT="0" distB="0" distL="114300" distR="114300">
            <wp:extent cx="4424045" cy="5168265"/>
            <wp:effectExtent l="0" t="0" r="0" b="0"/>
            <wp:docPr id="4" name="图片 1" descr="00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0001_副本"/>
                    <pic:cNvPicPr>
                      <a:picLocks noChangeAspect="1"/>
                    </pic:cNvPicPr>
                  </pic:nvPicPr>
                  <pic:blipFill>
                    <a:blip r:embed="rId8"/>
                    <a:stretch>
                      <a:fillRect/>
                    </a:stretch>
                  </pic:blipFill>
                  <pic:spPr>
                    <a:xfrm>
                      <a:off x="0" y="0"/>
                      <a:ext cx="4427212" cy="5171594"/>
                    </a:xfrm>
                    <a:prstGeom prst="rect">
                      <a:avLst/>
                    </a:prstGeom>
                    <a:noFill/>
                    <a:ln>
                      <a:noFill/>
                    </a:ln>
                  </pic:spPr>
                </pic:pic>
              </a:graphicData>
            </a:graphic>
          </wp:inline>
        </w:drawing>
      </w:r>
    </w:p>
    <w:p>
      <w:pPr>
        <w:spacing w:line="360" w:lineRule="auto"/>
      </w:pPr>
    </w:p>
    <w:p>
      <w:pPr>
        <w:pStyle w:val="2"/>
        <w:spacing w:before="120" w:after="120"/>
        <w:rPr>
          <w:rStyle w:val="58"/>
          <w:b/>
          <w:bCs/>
          <w:szCs w:val="44"/>
        </w:rPr>
      </w:pPr>
      <w:bookmarkStart w:id="21" w:name="_Toc53087558"/>
      <w:r>
        <w:rPr>
          <w:rStyle w:val="58"/>
          <w:b/>
          <w:bCs/>
          <w:szCs w:val="44"/>
        </w:rPr>
        <w:t>6.0中盛认证收费标准</w:t>
      </w:r>
      <w:bookmarkEnd w:id="21"/>
    </w:p>
    <w:p>
      <w:pPr>
        <w:spacing w:line="380" w:lineRule="exact"/>
        <w:rPr>
          <w:b/>
          <w:sz w:val="24"/>
        </w:rPr>
      </w:pPr>
      <w:r>
        <w:rPr>
          <w:b/>
          <w:sz w:val="24"/>
        </w:rPr>
        <w:t>6.1.认证收费原则</w:t>
      </w:r>
    </w:p>
    <w:p>
      <w:pPr>
        <w:spacing w:line="380" w:lineRule="exact"/>
        <w:rPr>
          <w:bCs/>
          <w:sz w:val="24"/>
        </w:rPr>
      </w:pPr>
      <w:r>
        <w:rPr>
          <w:bCs/>
          <w:sz w:val="24"/>
        </w:rPr>
        <w:t>6.1.1 中盛获得财务收入的方式以不影响认证的公正性为准则；</w:t>
      </w:r>
    </w:p>
    <w:p>
      <w:pPr>
        <w:spacing w:line="380" w:lineRule="exact"/>
        <w:rPr>
          <w:bCs/>
          <w:sz w:val="24"/>
        </w:rPr>
      </w:pPr>
      <w:r>
        <w:rPr>
          <w:bCs/>
          <w:sz w:val="24"/>
        </w:rPr>
        <w:t>6.1.2 财务收入来源为认证收费和其它正当收入；</w:t>
      </w:r>
    </w:p>
    <w:p>
      <w:pPr>
        <w:spacing w:line="380" w:lineRule="exact"/>
        <w:rPr>
          <w:bCs/>
          <w:sz w:val="24"/>
        </w:rPr>
      </w:pPr>
      <w:r>
        <w:rPr>
          <w:bCs/>
          <w:sz w:val="24"/>
        </w:rPr>
        <w:t>6.1.3 认证收入用于维持中盛认证活动的正常进行，不以盈利为目的，实施有偿服务。</w:t>
      </w:r>
    </w:p>
    <w:p>
      <w:pPr>
        <w:spacing w:line="380" w:lineRule="exact"/>
        <w:rPr>
          <w:bCs/>
          <w:sz w:val="24"/>
        </w:rPr>
      </w:pPr>
    </w:p>
    <w:p>
      <w:pPr>
        <w:spacing w:line="380" w:lineRule="exact"/>
        <w:rPr>
          <w:b/>
          <w:sz w:val="24"/>
        </w:rPr>
      </w:pPr>
      <w:r>
        <w:rPr>
          <w:b/>
          <w:sz w:val="24"/>
        </w:rPr>
        <w:t>6.2.认证收费</w:t>
      </w:r>
    </w:p>
    <w:p>
      <w:pPr>
        <w:spacing w:line="380" w:lineRule="exact"/>
        <w:rPr>
          <w:bCs/>
          <w:sz w:val="24"/>
        </w:rPr>
      </w:pPr>
      <w:r>
        <w:rPr>
          <w:bCs/>
          <w:sz w:val="24"/>
        </w:rPr>
        <w:t>6.2.1 认证收费标准</w:t>
      </w:r>
    </w:p>
    <w:p>
      <w:pPr>
        <w:spacing w:line="380" w:lineRule="exact"/>
        <w:ind w:firstLine="420"/>
        <w:rPr>
          <w:bCs/>
          <w:sz w:val="24"/>
        </w:rPr>
      </w:pPr>
      <w:r>
        <w:rPr>
          <w:bCs/>
          <w:sz w:val="24"/>
        </w:rPr>
        <w:t>根据国家发展计划委员会和国家质量技术监督局计价格【1992】212号《质量管理体系认证收费标准》，制定中盛公司管理体系认证收费标准（见表1）。</w:t>
      </w:r>
    </w:p>
    <w:p>
      <w:pPr>
        <w:spacing w:line="380" w:lineRule="exact"/>
        <w:rPr>
          <w:bCs/>
          <w:sz w:val="24"/>
        </w:rPr>
      </w:pPr>
      <w:r>
        <w:rPr>
          <w:bCs/>
          <w:sz w:val="24"/>
        </w:rPr>
        <w:t>表1：</w:t>
      </w:r>
    </w:p>
    <w:tbl>
      <w:tblPr>
        <w:tblStyle w:val="33"/>
        <w:tblW w:w="9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006"/>
        <w:gridCol w:w="1854"/>
        <w:gridCol w:w="3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75" w:type="dxa"/>
            <w:vAlign w:val="center"/>
          </w:tcPr>
          <w:p>
            <w:pPr>
              <w:spacing w:line="380" w:lineRule="exact"/>
              <w:jc w:val="center"/>
              <w:rPr>
                <w:rFonts w:eastAsia="楷体"/>
                <w:bCs/>
                <w:sz w:val="24"/>
              </w:rPr>
            </w:pPr>
            <w:r>
              <w:rPr>
                <w:rFonts w:eastAsia="楷体"/>
                <w:bCs/>
                <w:sz w:val="24"/>
              </w:rPr>
              <w:t>序号</w:t>
            </w:r>
          </w:p>
        </w:tc>
        <w:tc>
          <w:tcPr>
            <w:tcW w:w="3006" w:type="dxa"/>
            <w:vAlign w:val="center"/>
          </w:tcPr>
          <w:p>
            <w:pPr>
              <w:spacing w:line="380" w:lineRule="exact"/>
              <w:jc w:val="center"/>
              <w:rPr>
                <w:rFonts w:eastAsia="楷体"/>
                <w:bCs/>
                <w:sz w:val="24"/>
              </w:rPr>
            </w:pPr>
            <w:r>
              <w:rPr>
                <w:rFonts w:eastAsia="楷体"/>
                <w:bCs/>
                <w:sz w:val="24"/>
              </w:rPr>
              <w:t>收费项目</w:t>
            </w:r>
          </w:p>
        </w:tc>
        <w:tc>
          <w:tcPr>
            <w:tcW w:w="1854" w:type="dxa"/>
            <w:vAlign w:val="center"/>
          </w:tcPr>
          <w:p>
            <w:pPr>
              <w:spacing w:line="380" w:lineRule="exact"/>
              <w:jc w:val="center"/>
              <w:rPr>
                <w:rFonts w:eastAsia="楷体"/>
                <w:bCs/>
                <w:sz w:val="24"/>
              </w:rPr>
            </w:pPr>
            <w:r>
              <w:rPr>
                <w:rFonts w:eastAsia="楷体"/>
                <w:bCs/>
                <w:sz w:val="24"/>
              </w:rPr>
              <w:t>收费标准</w:t>
            </w:r>
          </w:p>
        </w:tc>
        <w:tc>
          <w:tcPr>
            <w:tcW w:w="3996" w:type="dxa"/>
            <w:vAlign w:val="center"/>
          </w:tcPr>
          <w:p>
            <w:pPr>
              <w:spacing w:line="380" w:lineRule="exact"/>
              <w:jc w:val="center"/>
              <w:rPr>
                <w:rFonts w:eastAsia="楷体"/>
                <w:bCs/>
                <w:sz w:val="24"/>
              </w:rPr>
            </w:pPr>
            <w:r>
              <w:rPr>
                <w:rFonts w:eastAsia="楷体"/>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75" w:type="dxa"/>
            <w:vAlign w:val="center"/>
          </w:tcPr>
          <w:p>
            <w:pPr>
              <w:spacing w:line="380" w:lineRule="exact"/>
              <w:jc w:val="center"/>
              <w:rPr>
                <w:rFonts w:eastAsia="楷体"/>
                <w:bCs/>
                <w:sz w:val="24"/>
              </w:rPr>
            </w:pPr>
            <w:r>
              <w:rPr>
                <w:rFonts w:eastAsia="楷体"/>
                <w:bCs/>
                <w:sz w:val="24"/>
              </w:rPr>
              <w:t>1</w:t>
            </w:r>
          </w:p>
        </w:tc>
        <w:tc>
          <w:tcPr>
            <w:tcW w:w="3006" w:type="dxa"/>
            <w:vAlign w:val="center"/>
          </w:tcPr>
          <w:p>
            <w:pPr>
              <w:spacing w:line="380" w:lineRule="exact"/>
              <w:jc w:val="center"/>
              <w:rPr>
                <w:rFonts w:eastAsia="楷体"/>
                <w:bCs/>
                <w:sz w:val="24"/>
              </w:rPr>
            </w:pPr>
            <w:r>
              <w:rPr>
                <w:rFonts w:eastAsia="楷体"/>
                <w:bCs/>
                <w:sz w:val="24"/>
              </w:rPr>
              <w:t>申请费</w:t>
            </w:r>
          </w:p>
        </w:tc>
        <w:tc>
          <w:tcPr>
            <w:tcW w:w="1854" w:type="dxa"/>
            <w:vAlign w:val="center"/>
          </w:tcPr>
          <w:p>
            <w:pPr>
              <w:spacing w:line="380" w:lineRule="exact"/>
              <w:jc w:val="center"/>
              <w:rPr>
                <w:rFonts w:eastAsia="楷体"/>
                <w:bCs/>
                <w:sz w:val="24"/>
              </w:rPr>
            </w:pPr>
            <w:r>
              <w:rPr>
                <w:rFonts w:eastAsia="楷体"/>
                <w:bCs/>
                <w:sz w:val="24"/>
              </w:rPr>
              <w:t>1000元</w:t>
            </w:r>
          </w:p>
        </w:tc>
        <w:tc>
          <w:tcPr>
            <w:tcW w:w="3996" w:type="dxa"/>
            <w:vAlign w:val="center"/>
          </w:tcPr>
          <w:p>
            <w:pPr>
              <w:spacing w:line="380" w:lineRule="exact"/>
              <w:jc w:val="center"/>
              <w:rPr>
                <w:rFonts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75" w:type="dxa"/>
            <w:vAlign w:val="center"/>
          </w:tcPr>
          <w:p>
            <w:pPr>
              <w:spacing w:line="380" w:lineRule="exact"/>
              <w:jc w:val="center"/>
              <w:rPr>
                <w:rFonts w:eastAsia="楷体"/>
                <w:bCs/>
                <w:sz w:val="24"/>
              </w:rPr>
            </w:pPr>
            <w:r>
              <w:rPr>
                <w:rFonts w:eastAsia="楷体"/>
                <w:bCs/>
                <w:sz w:val="24"/>
              </w:rPr>
              <w:t>2</w:t>
            </w:r>
          </w:p>
        </w:tc>
        <w:tc>
          <w:tcPr>
            <w:tcW w:w="3006" w:type="dxa"/>
            <w:vAlign w:val="center"/>
          </w:tcPr>
          <w:p>
            <w:pPr>
              <w:spacing w:line="380" w:lineRule="exact"/>
              <w:jc w:val="center"/>
              <w:rPr>
                <w:rFonts w:eastAsia="楷体"/>
                <w:bCs/>
                <w:sz w:val="24"/>
              </w:rPr>
            </w:pPr>
            <w:r>
              <w:rPr>
                <w:rFonts w:eastAsia="楷体"/>
                <w:bCs/>
                <w:sz w:val="24"/>
              </w:rPr>
              <w:t>审定与注册费（含证书）</w:t>
            </w:r>
          </w:p>
        </w:tc>
        <w:tc>
          <w:tcPr>
            <w:tcW w:w="1854" w:type="dxa"/>
            <w:vAlign w:val="center"/>
          </w:tcPr>
          <w:p>
            <w:pPr>
              <w:spacing w:line="380" w:lineRule="exact"/>
              <w:jc w:val="center"/>
              <w:rPr>
                <w:rFonts w:eastAsia="楷体"/>
                <w:bCs/>
                <w:sz w:val="24"/>
              </w:rPr>
            </w:pPr>
            <w:r>
              <w:rPr>
                <w:rFonts w:eastAsia="楷体"/>
                <w:bCs/>
                <w:sz w:val="24"/>
              </w:rPr>
              <w:t>2000元/每证</w:t>
            </w:r>
          </w:p>
        </w:tc>
        <w:tc>
          <w:tcPr>
            <w:tcW w:w="3996" w:type="dxa"/>
            <w:vAlign w:val="center"/>
          </w:tcPr>
          <w:p>
            <w:pPr>
              <w:spacing w:line="380" w:lineRule="exact"/>
              <w:rPr>
                <w:rFonts w:eastAsia="楷体"/>
                <w:bCs/>
                <w:sz w:val="24"/>
              </w:rPr>
            </w:pPr>
            <w:r>
              <w:rPr>
                <w:rFonts w:eastAsia="楷体"/>
                <w:bCs/>
                <w:sz w:val="24"/>
              </w:rPr>
              <w:t>如需加印证书，每证另收费50元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5" w:type="dxa"/>
            <w:vAlign w:val="center"/>
          </w:tcPr>
          <w:p>
            <w:pPr>
              <w:spacing w:line="380" w:lineRule="exact"/>
              <w:jc w:val="center"/>
              <w:rPr>
                <w:rFonts w:eastAsia="楷体"/>
                <w:bCs/>
                <w:sz w:val="24"/>
              </w:rPr>
            </w:pPr>
            <w:r>
              <w:rPr>
                <w:rFonts w:eastAsia="楷体"/>
                <w:bCs/>
                <w:sz w:val="24"/>
              </w:rPr>
              <w:t>4</w:t>
            </w:r>
          </w:p>
        </w:tc>
        <w:tc>
          <w:tcPr>
            <w:tcW w:w="3006" w:type="dxa"/>
            <w:vAlign w:val="center"/>
          </w:tcPr>
          <w:p>
            <w:pPr>
              <w:spacing w:line="380" w:lineRule="exact"/>
              <w:jc w:val="center"/>
              <w:rPr>
                <w:rFonts w:eastAsia="楷体"/>
                <w:bCs/>
                <w:sz w:val="24"/>
              </w:rPr>
            </w:pPr>
            <w:r>
              <w:rPr>
                <w:rFonts w:eastAsia="楷体"/>
                <w:bCs/>
                <w:sz w:val="24"/>
              </w:rPr>
              <w:t>审核费</w:t>
            </w:r>
          </w:p>
        </w:tc>
        <w:tc>
          <w:tcPr>
            <w:tcW w:w="1854" w:type="dxa"/>
            <w:vAlign w:val="center"/>
          </w:tcPr>
          <w:p>
            <w:pPr>
              <w:spacing w:line="380" w:lineRule="exact"/>
              <w:jc w:val="center"/>
              <w:rPr>
                <w:rFonts w:eastAsia="楷体"/>
                <w:bCs/>
                <w:sz w:val="24"/>
              </w:rPr>
            </w:pPr>
            <w:r>
              <w:rPr>
                <w:rFonts w:eastAsia="楷体"/>
                <w:bCs/>
                <w:sz w:val="24"/>
              </w:rPr>
              <w:t>3000元/人·日</w:t>
            </w:r>
          </w:p>
        </w:tc>
        <w:tc>
          <w:tcPr>
            <w:tcW w:w="3996" w:type="dxa"/>
            <w:vAlign w:val="center"/>
          </w:tcPr>
          <w:p>
            <w:pPr>
              <w:spacing w:line="380" w:lineRule="exact"/>
              <w:rPr>
                <w:rFonts w:eastAsia="楷体"/>
                <w:bCs/>
                <w:sz w:val="24"/>
              </w:rPr>
            </w:pPr>
            <w:r>
              <w:rPr>
                <w:rFonts w:eastAsia="楷体"/>
                <w:bCs/>
                <w:sz w:val="24"/>
              </w:rPr>
              <w:t>审核人日数按认可委规定执行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75" w:type="dxa"/>
            <w:vAlign w:val="center"/>
          </w:tcPr>
          <w:p>
            <w:pPr>
              <w:spacing w:line="380" w:lineRule="exact"/>
              <w:jc w:val="center"/>
              <w:rPr>
                <w:rFonts w:eastAsia="楷体"/>
                <w:bCs/>
                <w:sz w:val="24"/>
              </w:rPr>
            </w:pPr>
            <w:r>
              <w:rPr>
                <w:rFonts w:eastAsia="楷体"/>
                <w:bCs/>
                <w:sz w:val="24"/>
              </w:rPr>
              <w:t>5</w:t>
            </w:r>
          </w:p>
        </w:tc>
        <w:tc>
          <w:tcPr>
            <w:tcW w:w="3006" w:type="dxa"/>
            <w:vAlign w:val="center"/>
          </w:tcPr>
          <w:p>
            <w:pPr>
              <w:spacing w:line="380" w:lineRule="exact"/>
              <w:jc w:val="center"/>
              <w:rPr>
                <w:rFonts w:eastAsia="楷体"/>
                <w:bCs/>
                <w:sz w:val="24"/>
              </w:rPr>
            </w:pPr>
            <w:r>
              <w:rPr>
                <w:rFonts w:eastAsia="楷体"/>
                <w:bCs/>
                <w:sz w:val="24"/>
              </w:rPr>
              <w:t>监督审核费</w:t>
            </w:r>
          </w:p>
        </w:tc>
        <w:tc>
          <w:tcPr>
            <w:tcW w:w="1854" w:type="dxa"/>
            <w:vAlign w:val="center"/>
          </w:tcPr>
          <w:p>
            <w:pPr>
              <w:spacing w:line="380" w:lineRule="exact"/>
              <w:jc w:val="center"/>
              <w:rPr>
                <w:rFonts w:eastAsia="楷体"/>
                <w:bCs/>
                <w:sz w:val="24"/>
              </w:rPr>
            </w:pPr>
            <w:r>
              <w:rPr>
                <w:rFonts w:eastAsia="楷体"/>
                <w:bCs/>
                <w:sz w:val="24"/>
              </w:rPr>
              <w:t>3000元/人·日</w:t>
            </w:r>
          </w:p>
        </w:tc>
        <w:tc>
          <w:tcPr>
            <w:tcW w:w="3996" w:type="dxa"/>
            <w:vAlign w:val="center"/>
          </w:tcPr>
          <w:p>
            <w:pPr>
              <w:spacing w:line="380" w:lineRule="exact"/>
              <w:rPr>
                <w:rFonts w:eastAsia="楷体"/>
                <w:bCs/>
                <w:sz w:val="24"/>
              </w:rPr>
            </w:pPr>
            <w:r>
              <w:rPr>
                <w:rFonts w:eastAsia="楷体"/>
                <w:bCs/>
                <w:sz w:val="24"/>
              </w:rPr>
              <w:t>审核人日数按认可委规定执行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75" w:type="dxa"/>
            <w:vAlign w:val="center"/>
          </w:tcPr>
          <w:p>
            <w:pPr>
              <w:spacing w:line="380" w:lineRule="exact"/>
              <w:jc w:val="center"/>
              <w:rPr>
                <w:rFonts w:eastAsia="楷体"/>
                <w:bCs/>
                <w:sz w:val="24"/>
              </w:rPr>
            </w:pPr>
            <w:r>
              <w:rPr>
                <w:rFonts w:eastAsia="楷体"/>
                <w:bCs/>
                <w:sz w:val="24"/>
              </w:rPr>
              <w:t>6</w:t>
            </w:r>
          </w:p>
        </w:tc>
        <w:tc>
          <w:tcPr>
            <w:tcW w:w="3006" w:type="dxa"/>
            <w:vAlign w:val="center"/>
          </w:tcPr>
          <w:p>
            <w:pPr>
              <w:spacing w:line="380" w:lineRule="exact"/>
              <w:jc w:val="center"/>
              <w:rPr>
                <w:rFonts w:eastAsia="楷体"/>
                <w:bCs/>
                <w:sz w:val="24"/>
              </w:rPr>
            </w:pPr>
            <w:r>
              <w:rPr>
                <w:rFonts w:eastAsia="楷体"/>
                <w:bCs/>
                <w:sz w:val="24"/>
              </w:rPr>
              <w:t>年金</w:t>
            </w:r>
          </w:p>
        </w:tc>
        <w:tc>
          <w:tcPr>
            <w:tcW w:w="1854" w:type="dxa"/>
            <w:vAlign w:val="center"/>
          </w:tcPr>
          <w:p>
            <w:pPr>
              <w:spacing w:line="380" w:lineRule="exact"/>
              <w:jc w:val="center"/>
              <w:rPr>
                <w:rFonts w:eastAsia="楷体"/>
                <w:bCs/>
                <w:sz w:val="24"/>
              </w:rPr>
            </w:pPr>
            <w:r>
              <w:rPr>
                <w:rFonts w:eastAsia="楷体"/>
                <w:bCs/>
                <w:sz w:val="24"/>
              </w:rPr>
              <w:t>2000元/每证</w:t>
            </w:r>
          </w:p>
        </w:tc>
        <w:tc>
          <w:tcPr>
            <w:tcW w:w="3996" w:type="dxa"/>
            <w:vAlign w:val="center"/>
          </w:tcPr>
          <w:p>
            <w:pPr>
              <w:spacing w:line="380" w:lineRule="exact"/>
              <w:rPr>
                <w:rFonts w:eastAsia="楷体"/>
                <w:bCs/>
                <w:sz w:val="24"/>
              </w:rPr>
            </w:pPr>
            <w:r>
              <w:rPr>
                <w:rFonts w:eastAsia="楷体"/>
                <w:bCs/>
                <w:sz w:val="24"/>
              </w:rPr>
              <w:t>年金每年缴纳一次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75" w:type="dxa"/>
            <w:vAlign w:val="center"/>
          </w:tcPr>
          <w:p>
            <w:pPr>
              <w:spacing w:line="380" w:lineRule="exact"/>
              <w:jc w:val="center"/>
              <w:rPr>
                <w:rFonts w:eastAsia="楷体"/>
                <w:bCs/>
                <w:sz w:val="24"/>
              </w:rPr>
            </w:pPr>
            <w:r>
              <w:rPr>
                <w:rFonts w:eastAsia="楷体"/>
                <w:bCs/>
                <w:sz w:val="24"/>
              </w:rPr>
              <w:t>7</w:t>
            </w:r>
          </w:p>
        </w:tc>
        <w:tc>
          <w:tcPr>
            <w:tcW w:w="3006" w:type="dxa"/>
            <w:vAlign w:val="center"/>
          </w:tcPr>
          <w:p>
            <w:pPr>
              <w:spacing w:line="380" w:lineRule="exact"/>
              <w:jc w:val="center"/>
              <w:rPr>
                <w:rFonts w:eastAsia="楷体"/>
                <w:bCs/>
                <w:sz w:val="24"/>
              </w:rPr>
            </w:pPr>
            <w:r>
              <w:rPr>
                <w:rFonts w:eastAsia="楷体"/>
                <w:bCs/>
                <w:sz w:val="24"/>
              </w:rPr>
              <w:t>扩项费</w:t>
            </w:r>
          </w:p>
        </w:tc>
        <w:tc>
          <w:tcPr>
            <w:tcW w:w="1854" w:type="dxa"/>
            <w:vAlign w:val="center"/>
          </w:tcPr>
          <w:p>
            <w:pPr>
              <w:spacing w:line="380" w:lineRule="exact"/>
              <w:jc w:val="center"/>
              <w:rPr>
                <w:rFonts w:eastAsia="楷体"/>
                <w:bCs/>
                <w:sz w:val="24"/>
              </w:rPr>
            </w:pPr>
            <w:r>
              <w:rPr>
                <w:rFonts w:eastAsia="楷体"/>
                <w:bCs/>
                <w:sz w:val="24"/>
              </w:rPr>
              <w:t>3000元/人·日</w:t>
            </w:r>
          </w:p>
        </w:tc>
        <w:tc>
          <w:tcPr>
            <w:tcW w:w="3996" w:type="dxa"/>
            <w:vAlign w:val="center"/>
          </w:tcPr>
          <w:p>
            <w:pPr>
              <w:spacing w:line="380" w:lineRule="exact"/>
              <w:rPr>
                <w:rFonts w:eastAsia="楷体"/>
                <w:bCs/>
                <w:sz w:val="24"/>
              </w:rPr>
            </w:pPr>
            <w:r>
              <w:rPr>
                <w:rFonts w:eastAsia="楷体"/>
                <w:bCs/>
                <w:sz w:val="24"/>
              </w:rPr>
              <w:t>按增加审核人日数执行</w:t>
            </w:r>
          </w:p>
        </w:tc>
      </w:tr>
    </w:tbl>
    <w:p>
      <w:pPr>
        <w:spacing w:line="380" w:lineRule="exact"/>
        <w:rPr>
          <w:bCs/>
          <w:sz w:val="24"/>
        </w:rPr>
      </w:pPr>
      <w:r>
        <w:rPr>
          <w:bCs/>
          <w:sz w:val="24"/>
        </w:rPr>
        <w:t>注：各种费用的具体金额和付费时间以《管理体系认证合同书》为准。</w:t>
      </w:r>
    </w:p>
    <w:p>
      <w:pPr>
        <w:spacing w:line="380" w:lineRule="exact"/>
        <w:rPr>
          <w:bCs/>
          <w:sz w:val="24"/>
        </w:rPr>
      </w:pPr>
      <w:r>
        <w:rPr>
          <w:bCs/>
          <w:sz w:val="24"/>
        </w:rPr>
        <w:t>6.2.2 认证最低收费标准</w:t>
      </w:r>
    </w:p>
    <w:p>
      <w:pPr>
        <w:spacing w:line="380" w:lineRule="exact"/>
        <w:ind w:firstLine="480" w:firstLineChars="200"/>
        <w:rPr>
          <w:bCs/>
          <w:sz w:val="24"/>
        </w:rPr>
      </w:pPr>
      <w:r>
        <w:rPr>
          <w:bCs/>
          <w:sz w:val="24"/>
        </w:rPr>
        <w:t>为了更好地执行国家价格政策，依据中国认证认可协会(CCAA）的规定，按照申请认证组织的规模（员工人数）并考虑其他影响认证工作量的因素，在鼓励优质优价的基础上，形成质量管理体系认证、环境管理体系认证、职业健康安全管理体系认证等管理体系认证最低限价（总价，不含交通费和食宿费）。</w:t>
      </w:r>
    </w:p>
    <w:p>
      <w:pPr>
        <w:spacing w:line="380" w:lineRule="exact"/>
        <w:ind w:firstLine="240" w:firstLineChars="100"/>
        <w:rPr>
          <w:sz w:val="24"/>
        </w:rPr>
      </w:pPr>
      <w:r>
        <w:rPr>
          <w:sz w:val="24"/>
        </w:rPr>
        <w:t>（</w:t>
      </w:r>
      <w:r>
        <w:rPr>
          <w:rFonts w:hint="eastAsia"/>
          <w:sz w:val="24"/>
        </w:rPr>
        <w:t>a</w:t>
      </w:r>
      <w:r>
        <w:rPr>
          <w:sz w:val="24"/>
        </w:rPr>
        <w:t>）质量管理体系认证、环境管理体系认证、职业健康安全管理体系认证单体系认证基础价格要求</w:t>
      </w:r>
    </w:p>
    <w:tbl>
      <w:tblPr>
        <w:tblStyle w:val="33"/>
        <w:tblW w:w="9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49"/>
        <w:gridCol w:w="1540"/>
        <w:gridCol w:w="1815"/>
        <w:gridCol w:w="1830"/>
        <w:gridCol w:w="2496"/>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Merge w:val="restart"/>
            <w:vAlign w:val="center"/>
          </w:tcPr>
          <w:p>
            <w:pPr>
              <w:spacing w:line="380" w:lineRule="exact"/>
              <w:jc w:val="center"/>
              <w:rPr>
                <w:rFonts w:eastAsia="楷体"/>
                <w:sz w:val="24"/>
              </w:rPr>
            </w:pPr>
            <w:r>
              <w:rPr>
                <w:rFonts w:eastAsia="楷体"/>
                <w:sz w:val="24"/>
              </w:rPr>
              <w:t>企业员工人数</w:t>
            </w:r>
          </w:p>
        </w:tc>
        <w:tc>
          <w:tcPr>
            <w:tcW w:w="1540" w:type="dxa"/>
            <w:vMerge w:val="restart"/>
            <w:vAlign w:val="center"/>
          </w:tcPr>
          <w:p>
            <w:pPr>
              <w:autoSpaceDE w:val="0"/>
              <w:autoSpaceDN w:val="0"/>
              <w:snapToGrid w:val="0"/>
              <w:spacing w:line="380" w:lineRule="exact"/>
              <w:jc w:val="center"/>
              <w:rPr>
                <w:rFonts w:eastAsia="楷体"/>
                <w:sz w:val="24"/>
              </w:rPr>
            </w:pPr>
            <w:r>
              <w:rPr>
                <w:rFonts w:eastAsia="楷体"/>
                <w:sz w:val="24"/>
              </w:rPr>
              <w:t>QMS</w:t>
            </w:r>
          </w:p>
          <w:p>
            <w:pPr>
              <w:autoSpaceDE w:val="0"/>
              <w:autoSpaceDN w:val="0"/>
              <w:snapToGrid w:val="0"/>
              <w:spacing w:line="380" w:lineRule="exact"/>
              <w:jc w:val="center"/>
              <w:rPr>
                <w:rFonts w:eastAsia="楷体"/>
                <w:sz w:val="24"/>
              </w:rPr>
            </w:pPr>
            <w:r>
              <w:rPr>
                <w:rFonts w:eastAsia="楷体"/>
                <w:sz w:val="24"/>
              </w:rPr>
              <w:t>基础价格</w:t>
            </w:r>
          </w:p>
        </w:tc>
        <w:tc>
          <w:tcPr>
            <w:tcW w:w="6141" w:type="dxa"/>
            <w:gridSpan w:val="3"/>
            <w:vAlign w:val="center"/>
          </w:tcPr>
          <w:p>
            <w:pPr>
              <w:autoSpaceDE w:val="0"/>
              <w:autoSpaceDN w:val="0"/>
              <w:snapToGrid w:val="0"/>
              <w:spacing w:line="380" w:lineRule="exact"/>
              <w:jc w:val="center"/>
              <w:rPr>
                <w:rFonts w:eastAsia="楷体"/>
                <w:sz w:val="24"/>
              </w:rPr>
            </w:pPr>
            <w:r>
              <w:rPr>
                <w:rFonts w:eastAsia="楷体"/>
                <w:sz w:val="24"/>
              </w:rPr>
              <w:t>EMS 或 OHSMS 基础价格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Merge w:val="continue"/>
            <w:vAlign w:val="center"/>
          </w:tcPr>
          <w:p>
            <w:pPr>
              <w:spacing w:line="380" w:lineRule="exact"/>
              <w:jc w:val="center"/>
              <w:rPr>
                <w:rFonts w:eastAsia="楷体"/>
                <w:sz w:val="24"/>
              </w:rPr>
            </w:pPr>
          </w:p>
        </w:tc>
        <w:tc>
          <w:tcPr>
            <w:tcW w:w="1540" w:type="dxa"/>
            <w:vMerge w:val="continue"/>
            <w:vAlign w:val="center"/>
          </w:tcPr>
          <w:p>
            <w:pPr>
              <w:autoSpaceDE w:val="0"/>
              <w:autoSpaceDN w:val="0"/>
              <w:snapToGrid w:val="0"/>
              <w:spacing w:line="380" w:lineRule="exact"/>
              <w:jc w:val="center"/>
              <w:rPr>
                <w:rFonts w:eastAsia="楷体"/>
                <w:sz w:val="24"/>
              </w:rPr>
            </w:pPr>
          </w:p>
        </w:tc>
        <w:tc>
          <w:tcPr>
            <w:tcW w:w="6141" w:type="dxa"/>
            <w:gridSpan w:val="3"/>
            <w:vAlign w:val="center"/>
          </w:tcPr>
          <w:p>
            <w:pPr>
              <w:autoSpaceDE w:val="0"/>
              <w:autoSpaceDN w:val="0"/>
              <w:snapToGrid w:val="0"/>
              <w:spacing w:line="380" w:lineRule="exact"/>
              <w:jc w:val="center"/>
              <w:rPr>
                <w:rFonts w:eastAsia="楷体"/>
                <w:sz w:val="24"/>
              </w:rPr>
            </w:pPr>
            <w:r>
              <w:rPr>
                <w:rFonts w:eastAsia="楷体"/>
                <w:sz w:val="24"/>
              </w:rPr>
              <w:t>根据申请认证组织环境因素复杂程度的不同，或风险程度</w:t>
            </w:r>
          </w:p>
          <w:p>
            <w:pPr>
              <w:autoSpaceDE w:val="0"/>
              <w:autoSpaceDN w:val="0"/>
              <w:snapToGrid w:val="0"/>
              <w:spacing w:line="380" w:lineRule="exact"/>
              <w:jc w:val="center"/>
              <w:rPr>
                <w:rFonts w:eastAsia="楷体"/>
                <w:sz w:val="24"/>
              </w:rPr>
            </w:pPr>
            <w:r>
              <w:rPr>
                <w:rFonts w:eastAsia="楷体"/>
                <w:sz w:val="24"/>
              </w:rPr>
              <w:t>的不同，按高度复杂、中度复杂、低度（有限）复杂的等</w:t>
            </w:r>
          </w:p>
          <w:p>
            <w:pPr>
              <w:spacing w:line="380" w:lineRule="exact"/>
              <w:jc w:val="center"/>
              <w:rPr>
                <w:rFonts w:eastAsia="楷体"/>
                <w:sz w:val="24"/>
              </w:rPr>
            </w:pPr>
            <w:r>
              <w:rPr>
                <w:rFonts w:eastAsia="楷体"/>
                <w:sz w:val="24"/>
              </w:rPr>
              <w:t>级，或一级、二级、三级风险程度，分别设定基础价格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Merge w:val="continue"/>
            <w:vAlign w:val="center"/>
          </w:tcPr>
          <w:p>
            <w:pPr>
              <w:spacing w:line="380" w:lineRule="exact"/>
              <w:jc w:val="center"/>
              <w:rPr>
                <w:rFonts w:eastAsia="楷体"/>
                <w:sz w:val="24"/>
              </w:rPr>
            </w:pPr>
          </w:p>
        </w:tc>
        <w:tc>
          <w:tcPr>
            <w:tcW w:w="1540" w:type="dxa"/>
            <w:vMerge w:val="continue"/>
            <w:vAlign w:val="center"/>
          </w:tcPr>
          <w:p>
            <w:pPr>
              <w:autoSpaceDE w:val="0"/>
              <w:autoSpaceDN w:val="0"/>
              <w:snapToGrid w:val="0"/>
              <w:spacing w:line="380" w:lineRule="exact"/>
              <w:jc w:val="center"/>
              <w:rPr>
                <w:rFonts w:eastAsia="楷体"/>
                <w:sz w:val="24"/>
              </w:rPr>
            </w:pPr>
          </w:p>
        </w:tc>
        <w:tc>
          <w:tcPr>
            <w:tcW w:w="1815" w:type="dxa"/>
            <w:vAlign w:val="center"/>
          </w:tcPr>
          <w:p>
            <w:pPr>
              <w:spacing w:line="380" w:lineRule="exact"/>
              <w:jc w:val="center"/>
              <w:rPr>
                <w:rFonts w:eastAsia="楷体"/>
                <w:sz w:val="24"/>
              </w:rPr>
            </w:pPr>
            <w:r>
              <w:rPr>
                <w:rFonts w:eastAsia="楷体"/>
                <w:sz w:val="24"/>
              </w:rPr>
              <w:t>高度污染 /一级</w:t>
            </w:r>
          </w:p>
        </w:tc>
        <w:tc>
          <w:tcPr>
            <w:tcW w:w="1830" w:type="dxa"/>
            <w:vAlign w:val="center"/>
          </w:tcPr>
          <w:p>
            <w:pPr>
              <w:spacing w:line="380" w:lineRule="exact"/>
              <w:jc w:val="center"/>
              <w:rPr>
                <w:rFonts w:eastAsia="楷体"/>
                <w:sz w:val="24"/>
              </w:rPr>
            </w:pPr>
            <w:r>
              <w:rPr>
                <w:rFonts w:eastAsia="楷体"/>
                <w:sz w:val="24"/>
              </w:rPr>
              <w:t>中度污染/二级</w:t>
            </w:r>
          </w:p>
        </w:tc>
        <w:tc>
          <w:tcPr>
            <w:tcW w:w="2496" w:type="dxa"/>
            <w:vAlign w:val="center"/>
          </w:tcPr>
          <w:p>
            <w:pPr>
              <w:spacing w:line="380" w:lineRule="exact"/>
              <w:jc w:val="center"/>
              <w:rPr>
                <w:rFonts w:eastAsia="楷体"/>
                <w:sz w:val="24"/>
              </w:rPr>
            </w:pPr>
            <w:r>
              <w:rPr>
                <w:rFonts w:eastAsia="楷体"/>
                <w:sz w:val="24"/>
              </w:rPr>
              <w:t>低度（有限）污染/三级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Align w:val="center"/>
          </w:tcPr>
          <w:p>
            <w:pPr>
              <w:autoSpaceDE w:val="0"/>
              <w:autoSpaceDN w:val="0"/>
              <w:snapToGrid w:val="0"/>
              <w:spacing w:line="380" w:lineRule="exact"/>
              <w:jc w:val="center"/>
              <w:rPr>
                <w:rFonts w:eastAsia="楷体"/>
                <w:sz w:val="24"/>
              </w:rPr>
            </w:pPr>
            <w:r>
              <w:rPr>
                <w:rFonts w:eastAsia="楷体"/>
                <w:sz w:val="24"/>
              </w:rPr>
              <w:t>65人以下</w:t>
            </w:r>
          </w:p>
        </w:tc>
        <w:tc>
          <w:tcPr>
            <w:tcW w:w="1540" w:type="dxa"/>
            <w:vAlign w:val="center"/>
          </w:tcPr>
          <w:p>
            <w:pPr>
              <w:autoSpaceDE w:val="0"/>
              <w:autoSpaceDN w:val="0"/>
              <w:snapToGrid w:val="0"/>
              <w:spacing w:line="380" w:lineRule="exact"/>
              <w:jc w:val="center"/>
              <w:rPr>
                <w:rFonts w:eastAsia="楷体"/>
                <w:sz w:val="24"/>
              </w:rPr>
            </w:pPr>
            <w:r>
              <w:rPr>
                <w:rFonts w:eastAsia="楷体"/>
                <w:sz w:val="24"/>
                <w:lang w:eastAsia="ja-JP"/>
              </w:rPr>
              <w:t>0.8</w:t>
            </w:r>
            <w:r>
              <w:rPr>
                <w:rFonts w:eastAsia="楷体"/>
                <w:sz w:val="24"/>
              </w:rPr>
              <w:t>万元</w:t>
            </w:r>
          </w:p>
        </w:tc>
        <w:tc>
          <w:tcPr>
            <w:tcW w:w="1815" w:type="dxa"/>
            <w:vAlign w:val="center"/>
          </w:tcPr>
          <w:p>
            <w:pPr>
              <w:spacing w:line="380" w:lineRule="exact"/>
              <w:jc w:val="center"/>
              <w:rPr>
                <w:rFonts w:eastAsia="楷体"/>
                <w:sz w:val="24"/>
              </w:rPr>
            </w:pPr>
            <w:r>
              <w:rPr>
                <w:rFonts w:eastAsia="楷体"/>
                <w:sz w:val="24"/>
                <w:lang w:eastAsia="ja-JP"/>
              </w:rPr>
              <w:t>1.0</w:t>
            </w:r>
            <w:r>
              <w:rPr>
                <w:rFonts w:eastAsia="楷体"/>
                <w:sz w:val="24"/>
              </w:rPr>
              <w:t>万元</w:t>
            </w:r>
          </w:p>
        </w:tc>
        <w:tc>
          <w:tcPr>
            <w:tcW w:w="1830" w:type="dxa"/>
            <w:vAlign w:val="center"/>
          </w:tcPr>
          <w:p>
            <w:pPr>
              <w:spacing w:line="380" w:lineRule="exact"/>
              <w:jc w:val="center"/>
              <w:rPr>
                <w:rFonts w:eastAsia="楷体"/>
                <w:sz w:val="24"/>
              </w:rPr>
            </w:pPr>
            <w:r>
              <w:rPr>
                <w:rFonts w:eastAsia="楷体"/>
                <w:sz w:val="24"/>
                <w:lang w:eastAsia="ja-JP"/>
              </w:rPr>
              <w:t>0.9</w:t>
            </w:r>
            <w:r>
              <w:rPr>
                <w:rFonts w:eastAsia="楷体"/>
                <w:sz w:val="24"/>
              </w:rPr>
              <w:t>万元</w:t>
            </w:r>
          </w:p>
        </w:tc>
        <w:tc>
          <w:tcPr>
            <w:tcW w:w="2496" w:type="dxa"/>
            <w:vAlign w:val="center"/>
          </w:tcPr>
          <w:p>
            <w:pPr>
              <w:spacing w:line="380" w:lineRule="exact"/>
              <w:jc w:val="center"/>
              <w:rPr>
                <w:rFonts w:eastAsia="楷体"/>
                <w:sz w:val="24"/>
              </w:rPr>
            </w:pPr>
            <w:r>
              <w:rPr>
                <w:rFonts w:eastAsia="楷体"/>
                <w:sz w:val="24"/>
                <w:lang w:eastAsia="ja-JP"/>
              </w:rPr>
              <w:t>0.8</w:t>
            </w:r>
            <w:r>
              <w:rPr>
                <w:rFonts w:eastAsia="楷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Align w:val="center"/>
          </w:tcPr>
          <w:p>
            <w:pPr>
              <w:autoSpaceDE w:val="0"/>
              <w:autoSpaceDN w:val="0"/>
              <w:snapToGrid w:val="0"/>
              <w:spacing w:line="380" w:lineRule="exact"/>
              <w:jc w:val="center"/>
              <w:rPr>
                <w:rFonts w:eastAsia="楷体"/>
                <w:sz w:val="24"/>
              </w:rPr>
            </w:pPr>
            <w:r>
              <w:rPr>
                <w:rFonts w:eastAsia="楷体"/>
                <w:sz w:val="24"/>
              </w:rPr>
              <w:t>66－125 人</w:t>
            </w:r>
          </w:p>
        </w:tc>
        <w:tc>
          <w:tcPr>
            <w:tcW w:w="1540" w:type="dxa"/>
            <w:vAlign w:val="center"/>
          </w:tcPr>
          <w:p>
            <w:pPr>
              <w:autoSpaceDE w:val="0"/>
              <w:autoSpaceDN w:val="0"/>
              <w:snapToGrid w:val="0"/>
              <w:spacing w:line="380" w:lineRule="exact"/>
              <w:jc w:val="center"/>
              <w:rPr>
                <w:rFonts w:eastAsia="楷体"/>
                <w:sz w:val="24"/>
              </w:rPr>
            </w:pPr>
            <w:r>
              <w:rPr>
                <w:rFonts w:eastAsia="楷体"/>
                <w:sz w:val="24"/>
                <w:lang w:eastAsia="ja-JP"/>
              </w:rPr>
              <w:t>1.05</w:t>
            </w:r>
            <w:r>
              <w:rPr>
                <w:rFonts w:eastAsia="楷体"/>
                <w:sz w:val="24"/>
              </w:rPr>
              <w:t>万元</w:t>
            </w:r>
          </w:p>
        </w:tc>
        <w:tc>
          <w:tcPr>
            <w:tcW w:w="1815" w:type="dxa"/>
            <w:vAlign w:val="center"/>
          </w:tcPr>
          <w:p>
            <w:pPr>
              <w:autoSpaceDE w:val="0"/>
              <w:autoSpaceDN w:val="0"/>
              <w:snapToGrid w:val="0"/>
              <w:spacing w:line="380" w:lineRule="exact"/>
              <w:jc w:val="center"/>
              <w:rPr>
                <w:rFonts w:eastAsia="楷体"/>
                <w:sz w:val="24"/>
              </w:rPr>
            </w:pPr>
            <w:r>
              <w:rPr>
                <w:rFonts w:eastAsia="楷体"/>
                <w:sz w:val="24"/>
                <w:lang w:eastAsia="ja-JP"/>
              </w:rPr>
              <w:t>1.5</w:t>
            </w:r>
            <w:r>
              <w:rPr>
                <w:rFonts w:eastAsia="楷体"/>
                <w:sz w:val="24"/>
              </w:rPr>
              <w:t>万元</w:t>
            </w:r>
          </w:p>
        </w:tc>
        <w:tc>
          <w:tcPr>
            <w:tcW w:w="1830" w:type="dxa"/>
            <w:vAlign w:val="center"/>
          </w:tcPr>
          <w:p>
            <w:pPr>
              <w:spacing w:line="380" w:lineRule="exact"/>
              <w:jc w:val="center"/>
              <w:rPr>
                <w:rFonts w:eastAsia="楷体"/>
                <w:sz w:val="24"/>
              </w:rPr>
            </w:pPr>
            <w:r>
              <w:rPr>
                <w:rFonts w:eastAsia="楷体"/>
                <w:sz w:val="24"/>
                <w:lang w:eastAsia="ja-JP"/>
              </w:rPr>
              <w:t>1.4</w:t>
            </w:r>
            <w:r>
              <w:rPr>
                <w:rFonts w:eastAsia="楷体"/>
                <w:sz w:val="24"/>
              </w:rPr>
              <w:t>万元</w:t>
            </w:r>
          </w:p>
        </w:tc>
        <w:tc>
          <w:tcPr>
            <w:tcW w:w="2496" w:type="dxa"/>
            <w:vAlign w:val="center"/>
          </w:tcPr>
          <w:p>
            <w:pPr>
              <w:autoSpaceDE w:val="0"/>
              <w:autoSpaceDN w:val="0"/>
              <w:snapToGrid w:val="0"/>
              <w:spacing w:line="380" w:lineRule="exact"/>
              <w:jc w:val="center"/>
              <w:rPr>
                <w:rFonts w:eastAsia="楷体"/>
                <w:sz w:val="24"/>
              </w:rPr>
            </w:pPr>
            <w:r>
              <w:rPr>
                <w:rFonts w:eastAsia="楷体"/>
                <w:sz w:val="24"/>
                <w:lang w:eastAsia="ja-JP"/>
              </w:rPr>
              <w:t>1.3</w:t>
            </w:r>
            <w:r>
              <w:rPr>
                <w:rFonts w:eastAsia="楷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Align w:val="center"/>
          </w:tcPr>
          <w:p>
            <w:pPr>
              <w:spacing w:line="380" w:lineRule="exact"/>
              <w:jc w:val="center"/>
              <w:rPr>
                <w:rFonts w:eastAsia="楷体"/>
                <w:sz w:val="24"/>
              </w:rPr>
            </w:pPr>
            <w:r>
              <w:rPr>
                <w:rFonts w:eastAsia="楷体"/>
                <w:sz w:val="24"/>
              </w:rPr>
              <w:t>126－275 人</w:t>
            </w:r>
          </w:p>
        </w:tc>
        <w:tc>
          <w:tcPr>
            <w:tcW w:w="1540" w:type="dxa"/>
            <w:vAlign w:val="center"/>
          </w:tcPr>
          <w:p>
            <w:pPr>
              <w:autoSpaceDE w:val="0"/>
              <w:autoSpaceDN w:val="0"/>
              <w:snapToGrid w:val="0"/>
              <w:spacing w:line="380" w:lineRule="exact"/>
              <w:jc w:val="center"/>
              <w:rPr>
                <w:rFonts w:eastAsia="楷体"/>
                <w:sz w:val="24"/>
              </w:rPr>
            </w:pPr>
            <w:r>
              <w:rPr>
                <w:rFonts w:eastAsia="楷体"/>
                <w:sz w:val="24"/>
                <w:lang w:eastAsia="ja-JP"/>
              </w:rPr>
              <w:t>1.4</w:t>
            </w:r>
            <w:r>
              <w:rPr>
                <w:rFonts w:eastAsia="楷体"/>
                <w:sz w:val="24"/>
              </w:rPr>
              <w:t>万元</w:t>
            </w:r>
          </w:p>
        </w:tc>
        <w:tc>
          <w:tcPr>
            <w:tcW w:w="1815" w:type="dxa"/>
            <w:vAlign w:val="center"/>
          </w:tcPr>
          <w:p>
            <w:pPr>
              <w:autoSpaceDE w:val="0"/>
              <w:autoSpaceDN w:val="0"/>
              <w:snapToGrid w:val="0"/>
              <w:spacing w:line="380" w:lineRule="exact"/>
              <w:jc w:val="center"/>
              <w:rPr>
                <w:rFonts w:eastAsia="楷体"/>
                <w:sz w:val="24"/>
              </w:rPr>
            </w:pPr>
            <w:r>
              <w:rPr>
                <w:rFonts w:eastAsia="楷体"/>
                <w:sz w:val="24"/>
                <w:lang w:eastAsia="ja-JP"/>
              </w:rPr>
              <w:t>1.9</w:t>
            </w:r>
            <w:r>
              <w:rPr>
                <w:rFonts w:eastAsia="楷体"/>
                <w:sz w:val="24"/>
              </w:rPr>
              <w:t>万元</w:t>
            </w:r>
          </w:p>
        </w:tc>
        <w:tc>
          <w:tcPr>
            <w:tcW w:w="1830" w:type="dxa"/>
            <w:vAlign w:val="center"/>
          </w:tcPr>
          <w:p>
            <w:pPr>
              <w:autoSpaceDE w:val="0"/>
              <w:autoSpaceDN w:val="0"/>
              <w:snapToGrid w:val="0"/>
              <w:spacing w:line="380" w:lineRule="exact"/>
              <w:jc w:val="center"/>
              <w:rPr>
                <w:rFonts w:eastAsia="楷体"/>
                <w:sz w:val="24"/>
              </w:rPr>
            </w:pPr>
            <w:r>
              <w:rPr>
                <w:rFonts w:eastAsia="楷体"/>
                <w:sz w:val="24"/>
                <w:lang w:eastAsia="ja-JP"/>
              </w:rPr>
              <w:t>1.8</w:t>
            </w:r>
            <w:r>
              <w:rPr>
                <w:rFonts w:eastAsia="楷体"/>
                <w:sz w:val="24"/>
              </w:rPr>
              <w:t>万元</w:t>
            </w:r>
          </w:p>
        </w:tc>
        <w:tc>
          <w:tcPr>
            <w:tcW w:w="2496" w:type="dxa"/>
            <w:vAlign w:val="center"/>
          </w:tcPr>
          <w:p>
            <w:pPr>
              <w:autoSpaceDE w:val="0"/>
              <w:autoSpaceDN w:val="0"/>
              <w:snapToGrid w:val="0"/>
              <w:spacing w:line="380" w:lineRule="exact"/>
              <w:jc w:val="center"/>
              <w:rPr>
                <w:rFonts w:eastAsia="楷体"/>
                <w:sz w:val="24"/>
              </w:rPr>
            </w:pPr>
            <w:r>
              <w:rPr>
                <w:rFonts w:eastAsia="楷体"/>
                <w:sz w:val="24"/>
                <w:lang w:eastAsia="ja-JP"/>
              </w:rPr>
              <w:t>1.7</w:t>
            </w:r>
            <w:r>
              <w:rPr>
                <w:rFonts w:eastAsia="楷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Align w:val="center"/>
          </w:tcPr>
          <w:p>
            <w:pPr>
              <w:autoSpaceDE w:val="0"/>
              <w:autoSpaceDN w:val="0"/>
              <w:snapToGrid w:val="0"/>
              <w:spacing w:line="380" w:lineRule="exact"/>
              <w:jc w:val="center"/>
              <w:rPr>
                <w:rFonts w:eastAsia="楷体"/>
                <w:sz w:val="24"/>
              </w:rPr>
            </w:pPr>
            <w:r>
              <w:rPr>
                <w:rFonts w:eastAsia="楷体"/>
                <w:sz w:val="24"/>
              </w:rPr>
              <w:t>276－625 人</w:t>
            </w:r>
          </w:p>
        </w:tc>
        <w:tc>
          <w:tcPr>
            <w:tcW w:w="1540" w:type="dxa"/>
            <w:vAlign w:val="center"/>
          </w:tcPr>
          <w:p>
            <w:pPr>
              <w:autoSpaceDE w:val="0"/>
              <w:autoSpaceDN w:val="0"/>
              <w:snapToGrid w:val="0"/>
              <w:spacing w:line="380" w:lineRule="exact"/>
              <w:jc w:val="center"/>
              <w:rPr>
                <w:rFonts w:eastAsia="楷体"/>
                <w:sz w:val="24"/>
              </w:rPr>
            </w:pPr>
            <w:r>
              <w:rPr>
                <w:rFonts w:eastAsia="楷体"/>
                <w:sz w:val="24"/>
                <w:lang w:eastAsia="ja-JP"/>
              </w:rPr>
              <w:t>1.6</w:t>
            </w:r>
            <w:r>
              <w:rPr>
                <w:rFonts w:eastAsia="楷体"/>
                <w:sz w:val="24"/>
              </w:rPr>
              <w:t>万元</w:t>
            </w:r>
          </w:p>
        </w:tc>
        <w:tc>
          <w:tcPr>
            <w:tcW w:w="1815" w:type="dxa"/>
            <w:vAlign w:val="center"/>
          </w:tcPr>
          <w:p>
            <w:pPr>
              <w:autoSpaceDE w:val="0"/>
              <w:autoSpaceDN w:val="0"/>
              <w:snapToGrid w:val="0"/>
              <w:spacing w:line="380" w:lineRule="exact"/>
              <w:jc w:val="center"/>
              <w:rPr>
                <w:rFonts w:eastAsia="楷体"/>
                <w:sz w:val="24"/>
              </w:rPr>
            </w:pPr>
            <w:r>
              <w:rPr>
                <w:rFonts w:eastAsia="楷体"/>
                <w:sz w:val="24"/>
                <w:lang w:eastAsia="ja-JP"/>
              </w:rPr>
              <w:t>2.3</w:t>
            </w:r>
            <w:r>
              <w:rPr>
                <w:rFonts w:eastAsia="楷体"/>
                <w:sz w:val="24"/>
              </w:rPr>
              <w:t>万元</w:t>
            </w:r>
          </w:p>
        </w:tc>
        <w:tc>
          <w:tcPr>
            <w:tcW w:w="1830" w:type="dxa"/>
            <w:vAlign w:val="center"/>
          </w:tcPr>
          <w:p>
            <w:pPr>
              <w:autoSpaceDE w:val="0"/>
              <w:autoSpaceDN w:val="0"/>
              <w:snapToGrid w:val="0"/>
              <w:spacing w:line="380" w:lineRule="exact"/>
              <w:jc w:val="center"/>
              <w:rPr>
                <w:rFonts w:eastAsia="楷体"/>
                <w:sz w:val="24"/>
              </w:rPr>
            </w:pPr>
            <w:r>
              <w:rPr>
                <w:rFonts w:eastAsia="楷体"/>
                <w:sz w:val="24"/>
                <w:lang w:eastAsia="ja-JP"/>
              </w:rPr>
              <w:t>2.15</w:t>
            </w:r>
            <w:r>
              <w:rPr>
                <w:rFonts w:eastAsia="楷体"/>
                <w:sz w:val="24"/>
              </w:rPr>
              <w:t>万元</w:t>
            </w:r>
          </w:p>
        </w:tc>
        <w:tc>
          <w:tcPr>
            <w:tcW w:w="2496" w:type="dxa"/>
            <w:vAlign w:val="center"/>
          </w:tcPr>
          <w:p>
            <w:pPr>
              <w:autoSpaceDE w:val="0"/>
              <w:autoSpaceDN w:val="0"/>
              <w:snapToGrid w:val="0"/>
              <w:spacing w:line="380" w:lineRule="exact"/>
              <w:jc w:val="center"/>
              <w:rPr>
                <w:rFonts w:eastAsia="楷体"/>
                <w:sz w:val="24"/>
              </w:rPr>
            </w:pPr>
            <w:r>
              <w:rPr>
                <w:rFonts w:eastAsia="楷体"/>
                <w:sz w:val="24"/>
                <w:lang w:eastAsia="ja-JP"/>
              </w:rPr>
              <w:t>2.0</w:t>
            </w:r>
            <w:r>
              <w:rPr>
                <w:rFonts w:eastAsia="楷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Align w:val="center"/>
          </w:tcPr>
          <w:p>
            <w:pPr>
              <w:autoSpaceDE w:val="0"/>
              <w:autoSpaceDN w:val="0"/>
              <w:snapToGrid w:val="0"/>
              <w:spacing w:line="380" w:lineRule="exact"/>
              <w:jc w:val="center"/>
              <w:rPr>
                <w:rFonts w:eastAsia="楷体"/>
                <w:sz w:val="24"/>
              </w:rPr>
            </w:pPr>
            <w:r>
              <w:rPr>
                <w:rFonts w:eastAsia="楷体"/>
                <w:sz w:val="24"/>
              </w:rPr>
              <w:t>626－1175 人</w:t>
            </w:r>
          </w:p>
        </w:tc>
        <w:tc>
          <w:tcPr>
            <w:tcW w:w="1540" w:type="dxa"/>
            <w:vAlign w:val="center"/>
          </w:tcPr>
          <w:p>
            <w:pPr>
              <w:autoSpaceDE w:val="0"/>
              <w:autoSpaceDN w:val="0"/>
              <w:snapToGrid w:val="0"/>
              <w:spacing w:line="380" w:lineRule="exact"/>
              <w:jc w:val="center"/>
              <w:rPr>
                <w:rFonts w:eastAsia="楷体"/>
                <w:sz w:val="24"/>
              </w:rPr>
            </w:pPr>
            <w:r>
              <w:rPr>
                <w:rFonts w:eastAsia="楷体"/>
                <w:sz w:val="24"/>
                <w:lang w:eastAsia="ja-JP"/>
              </w:rPr>
              <w:t>1.8</w:t>
            </w:r>
            <w:r>
              <w:rPr>
                <w:rFonts w:eastAsia="楷体"/>
                <w:sz w:val="24"/>
              </w:rPr>
              <w:t>万元</w:t>
            </w:r>
          </w:p>
        </w:tc>
        <w:tc>
          <w:tcPr>
            <w:tcW w:w="1815" w:type="dxa"/>
            <w:vAlign w:val="center"/>
          </w:tcPr>
          <w:p>
            <w:pPr>
              <w:autoSpaceDE w:val="0"/>
              <w:autoSpaceDN w:val="0"/>
              <w:snapToGrid w:val="0"/>
              <w:spacing w:line="380" w:lineRule="exact"/>
              <w:jc w:val="center"/>
              <w:rPr>
                <w:rFonts w:eastAsia="楷体"/>
                <w:sz w:val="24"/>
              </w:rPr>
            </w:pPr>
            <w:r>
              <w:rPr>
                <w:rFonts w:eastAsia="楷体"/>
                <w:sz w:val="24"/>
                <w:lang w:eastAsia="ja-JP"/>
              </w:rPr>
              <w:t>2.7</w:t>
            </w:r>
            <w:r>
              <w:rPr>
                <w:rFonts w:eastAsia="楷体"/>
                <w:sz w:val="24"/>
              </w:rPr>
              <w:t>万元</w:t>
            </w:r>
          </w:p>
        </w:tc>
        <w:tc>
          <w:tcPr>
            <w:tcW w:w="1830" w:type="dxa"/>
            <w:vAlign w:val="center"/>
          </w:tcPr>
          <w:p>
            <w:pPr>
              <w:autoSpaceDE w:val="0"/>
              <w:autoSpaceDN w:val="0"/>
              <w:snapToGrid w:val="0"/>
              <w:spacing w:line="380" w:lineRule="exact"/>
              <w:jc w:val="center"/>
              <w:rPr>
                <w:rFonts w:eastAsia="楷体"/>
                <w:sz w:val="24"/>
              </w:rPr>
            </w:pPr>
            <w:r>
              <w:rPr>
                <w:rFonts w:eastAsia="楷体"/>
                <w:sz w:val="24"/>
                <w:lang w:eastAsia="ja-JP"/>
              </w:rPr>
              <w:t>2.55</w:t>
            </w:r>
            <w:r>
              <w:rPr>
                <w:rFonts w:eastAsia="楷体"/>
                <w:sz w:val="24"/>
              </w:rPr>
              <w:t>万元</w:t>
            </w:r>
          </w:p>
        </w:tc>
        <w:tc>
          <w:tcPr>
            <w:tcW w:w="2496" w:type="dxa"/>
            <w:vAlign w:val="center"/>
          </w:tcPr>
          <w:p>
            <w:pPr>
              <w:autoSpaceDE w:val="0"/>
              <w:autoSpaceDN w:val="0"/>
              <w:snapToGrid w:val="0"/>
              <w:spacing w:line="380" w:lineRule="exact"/>
              <w:jc w:val="center"/>
              <w:rPr>
                <w:rFonts w:eastAsia="楷体"/>
                <w:sz w:val="24"/>
              </w:rPr>
            </w:pPr>
            <w:r>
              <w:rPr>
                <w:rFonts w:eastAsia="楷体"/>
                <w:sz w:val="24"/>
                <w:lang w:eastAsia="ja-JP"/>
              </w:rPr>
              <w:t>2.4</w:t>
            </w:r>
            <w:r>
              <w:rPr>
                <w:rFonts w:eastAsia="楷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Align w:val="center"/>
          </w:tcPr>
          <w:p>
            <w:pPr>
              <w:autoSpaceDE w:val="0"/>
              <w:autoSpaceDN w:val="0"/>
              <w:snapToGrid w:val="0"/>
              <w:spacing w:line="380" w:lineRule="exact"/>
              <w:jc w:val="center"/>
              <w:rPr>
                <w:rFonts w:eastAsia="楷体"/>
                <w:sz w:val="24"/>
              </w:rPr>
            </w:pPr>
            <w:r>
              <w:rPr>
                <w:rFonts w:eastAsia="楷体"/>
                <w:sz w:val="24"/>
              </w:rPr>
              <w:t>1176－1550 人</w:t>
            </w:r>
          </w:p>
        </w:tc>
        <w:tc>
          <w:tcPr>
            <w:tcW w:w="1540" w:type="dxa"/>
            <w:vAlign w:val="center"/>
          </w:tcPr>
          <w:p>
            <w:pPr>
              <w:autoSpaceDE w:val="0"/>
              <w:autoSpaceDN w:val="0"/>
              <w:snapToGrid w:val="0"/>
              <w:spacing w:line="380" w:lineRule="exact"/>
              <w:jc w:val="center"/>
              <w:rPr>
                <w:rFonts w:eastAsia="楷体"/>
                <w:sz w:val="24"/>
              </w:rPr>
            </w:pPr>
            <w:r>
              <w:rPr>
                <w:rFonts w:eastAsia="楷体"/>
                <w:sz w:val="24"/>
                <w:lang w:eastAsia="ja-JP"/>
              </w:rPr>
              <w:t>2.0</w:t>
            </w:r>
            <w:r>
              <w:rPr>
                <w:rFonts w:eastAsia="楷体"/>
                <w:sz w:val="24"/>
              </w:rPr>
              <w:t>万元</w:t>
            </w:r>
          </w:p>
        </w:tc>
        <w:tc>
          <w:tcPr>
            <w:tcW w:w="1815" w:type="dxa"/>
            <w:vAlign w:val="center"/>
          </w:tcPr>
          <w:p>
            <w:pPr>
              <w:autoSpaceDE w:val="0"/>
              <w:autoSpaceDN w:val="0"/>
              <w:snapToGrid w:val="0"/>
              <w:spacing w:line="380" w:lineRule="exact"/>
              <w:jc w:val="center"/>
              <w:rPr>
                <w:rFonts w:eastAsia="楷体"/>
                <w:sz w:val="24"/>
              </w:rPr>
            </w:pPr>
            <w:r>
              <w:rPr>
                <w:rFonts w:eastAsia="楷体"/>
                <w:sz w:val="24"/>
                <w:lang w:eastAsia="ja-JP"/>
              </w:rPr>
              <w:t>3.1</w:t>
            </w:r>
            <w:r>
              <w:rPr>
                <w:rFonts w:eastAsia="楷体"/>
                <w:sz w:val="24"/>
              </w:rPr>
              <w:t>万元</w:t>
            </w:r>
          </w:p>
        </w:tc>
        <w:tc>
          <w:tcPr>
            <w:tcW w:w="1830" w:type="dxa"/>
            <w:vAlign w:val="center"/>
          </w:tcPr>
          <w:p>
            <w:pPr>
              <w:autoSpaceDE w:val="0"/>
              <w:autoSpaceDN w:val="0"/>
              <w:snapToGrid w:val="0"/>
              <w:spacing w:line="380" w:lineRule="exact"/>
              <w:jc w:val="center"/>
              <w:rPr>
                <w:rFonts w:eastAsia="楷体"/>
                <w:sz w:val="24"/>
              </w:rPr>
            </w:pPr>
            <w:r>
              <w:rPr>
                <w:rFonts w:eastAsia="楷体"/>
                <w:sz w:val="24"/>
                <w:lang w:eastAsia="ja-JP"/>
              </w:rPr>
              <w:t>2.95</w:t>
            </w:r>
            <w:r>
              <w:rPr>
                <w:rFonts w:eastAsia="楷体"/>
                <w:sz w:val="24"/>
              </w:rPr>
              <w:t>万元</w:t>
            </w:r>
          </w:p>
        </w:tc>
        <w:tc>
          <w:tcPr>
            <w:tcW w:w="2496" w:type="dxa"/>
            <w:vAlign w:val="center"/>
          </w:tcPr>
          <w:p>
            <w:pPr>
              <w:autoSpaceDE w:val="0"/>
              <w:autoSpaceDN w:val="0"/>
              <w:snapToGrid w:val="0"/>
              <w:spacing w:line="380" w:lineRule="exact"/>
              <w:jc w:val="center"/>
              <w:rPr>
                <w:rFonts w:eastAsia="楷体"/>
                <w:sz w:val="24"/>
              </w:rPr>
            </w:pPr>
            <w:r>
              <w:rPr>
                <w:rFonts w:eastAsia="楷体"/>
                <w:sz w:val="24"/>
                <w:lang w:eastAsia="ja-JP"/>
              </w:rPr>
              <w:t>2.8</w:t>
            </w:r>
            <w:r>
              <w:rPr>
                <w:rFonts w:eastAsia="楷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6" w:type="dxa"/>
        </w:trPr>
        <w:tc>
          <w:tcPr>
            <w:tcW w:w="1749" w:type="dxa"/>
            <w:vAlign w:val="center"/>
          </w:tcPr>
          <w:p>
            <w:pPr>
              <w:spacing w:line="380" w:lineRule="exact"/>
              <w:jc w:val="center"/>
              <w:rPr>
                <w:rFonts w:eastAsia="楷体"/>
                <w:sz w:val="24"/>
              </w:rPr>
            </w:pPr>
            <w:r>
              <w:rPr>
                <w:rFonts w:eastAsia="楷体"/>
                <w:sz w:val="24"/>
              </w:rPr>
              <w:t>1551－2000 人</w:t>
            </w:r>
          </w:p>
        </w:tc>
        <w:tc>
          <w:tcPr>
            <w:tcW w:w="1540" w:type="dxa"/>
            <w:vAlign w:val="center"/>
          </w:tcPr>
          <w:p>
            <w:pPr>
              <w:autoSpaceDE w:val="0"/>
              <w:autoSpaceDN w:val="0"/>
              <w:snapToGrid w:val="0"/>
              <w:spacing w:line="380" w:lineRule="exact"/>
              <w:jc w:val="center"/>
              <w:rPr>
                <w:rFonts w:eastAsia="楷体"/>
                <w:sz w:val="24"/>
              </w:rPr>
            </w:pPr>
            <w:r>
              <w:rPr>
                <w:rFonts w:eastAsia="楷体"/>
                <w:sz w:val="24"/>
                <w:lang w:eastAsia="ja-JP"/>
              </w:rPr>
              <w:t>2.5</w:t>
            </w:r>
            <w:r>
              <w:rPr>
                <w:rFonts w:eastAsia="楷体"/>
                <w:sz w:val="24"/>
              </w:rPr>
              <w:t>万元</w:t>
            </w:r>
          </w:p>
        </w:tc>
        <w:tc>
          <w:tcPr>
            <w:tcW w:w="1815" w:type="dxa"/>
            <w:vAlign w:val="center"/>
          </w:tcPr>
          <w:p>
            <w:pPr>
              <w:autoSpaceDE w:val="0"/>
              <w:autoSpaceDN w:val="0"/>
              <w:snapToGrid w:val="0"/>
              <w:spacing w:line="380" w:lineRule="exact"/>
              <w:jc w:val="center"/>
              <w:rPr>
                <w:rFonts w:eastAsia="楷体"/>
                <w:sz w:val="24"/>
              </w:rPr>
            </w:pPr>
            <w:r>
              <w:rPr>
                <w:rFonts w:eastAsia="楷体"/>
                <w:sz w:val="24"/>
                <w:lang w:eastAsia="ja-JP"/>
              </w:rPr>
              <w:t>3.5</w:t>
            </w:r>
            <w:r>
              <w:rPr>
                <w:rFonts w:eastAsia="楷体"/>
                <w:sz w:val="24"/>
              </w:rPr>
              <w:t>万元</w:t>
            </w:r>
          </w:p>
        </w:tc>
        <w:tc>
          <w:tcPr>
            <w:tcW w:w="1830" w:type="dxa"/>
            <w:vAlign w:val="center"/>
          </w:tcPr>
          <w:p>
            <w:pPr>
              <w:autoSpaceDE w:val="0"/>
              <w:autoSpaceDN w:val="0"/>
              <w:snapToGrid w:val="0"/>
              <w:spacing w:line="380" w:lineRule="exact"/>
              <w:jc w:val="center"/>
              <w:rPr>
                <w:rFonts w:eastAsia="楷体"/>
                <w:sz w:val="24"/>
              </w:rPr>
            </w:pPr>
            <w:r>
              <w:rPr>
                <w:rFonts w:eastAsia="楷体"/>
                <w:sz w:val="24"/>
                <w:lang w:eastAsia="ja-JP"/>
              </w:rPr>
              <w:t>3.15</w:t>
            </w:r>
            <w:r>
              <w:rPr>
                <w:rFonts w:eastAsia="楷体"/>
                <w:sz w:val="24"/>
              </w:rPr>
              <w:t>万元</w:t>
            </w:r>
          </w:p>
        </w:tc>
        <w:tc>
          <w:tcPr>
            <w:tcW w:w="2496" w:type="dxa"/>
            <w:vAlign w:val="center"/>
          </w:tcPr>
          <w:p>
            <w:pPr>
              <w:autoSpaceDE w:val="0"/>
              <w:autoSpaceDN w:val="0"/>
              <w:snapToGrid w:val="0"/>
              <w:spacing w:line="380" w:lineRule="exact"/>
              <w:jc w:val="center"/>
              <w:rPr>
                <w:rFonts w:eastAsia="楷体"/>
                <w:sz w:val="24"/>
              </w:rPr>
            </w:pPr>
            <w:r>
              <w:rPr>
                <w:rFonts w:eastAsia="楷体"/>
                <w:sz w:val="24"/>
                <w:lang w:eastAsia="ja-JP"/>
              </w:rPr>
              <w:t>3.0</w:t>
            </w:r>
            <w:r>
              <w:rPr>
                <w:rFonts w:eastAsia="楷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749" w:type="dxa"/>
            <w:vAlign w:val="center"/>
          </w:tcPr>
          <w:p>
            <w:pPr>
              <w:autoSpaceDE w:val="0"/>
              <w:autoSpaceDN w:val="0"/>
              <w:snapToGrid w:val="0"/>
              <w:spacing w:line="380" w:lineRule="exact"/>
              <w:jc w:val="center"/>
              <w:rPr>
                <w:rFonts w:eastAsia="楷体"/>
                <w:sz w:val="24"/>
              </w:rPr>
            </w:pPr>
            <w:r>
              <w:rPr>
                <w:rFonts w:eastAsia="楷体"/>
                <w:sz w:val="24"/>
              </w:rPr>
              <w:t>2001人以上</w:t>
            </w:r>
          </w:p>
        </w:tc>
        <w:tc>
          <w:tcPr>
            <w:tcW w:w="7687" w:type="dxa"/>
            <w:gridSpan w:val="5"/>
            <w:vAlign w:val="center"/>
          </w:tcPr>
          <w:p>
            <w:pPr>
              <w:autoSpaceDE w:val="0"/>
              <w:autoSpaceDN w:val="0"/>
              <w:snapToGrid w:val="0"/>
              <w:spacing w:line="380" w:lineRule="exact"/>
              <w:jc w:val="center"/>
              <w:rPr>
                <w:rFonts w:eastAsia="楷体"/>
                <w:sz w:val="24"/>
              </w:rPr>
            </w:pPr>
            <w:r>
              <w:rPr>
                <w:rFonts w:eastAsia="楷体"/>
                <w:sz w:val="24"/>
              </w:rPr>
              <w:t>每增加一个审核人日，认证收费最少增加 0.</w:t>
            </w:r>
            <w:r>
              <w:rPr>
                <w:rFonts w:eastAsia="楷体"/>
                <w:sz w:val="24"/>
                <w:lang w:eastAsia="ja-JP"/>
              </w:rPr>
              <w:t>12</w:t>
            </w:r>
            <w:r>
              <w:rPr>
                <w:rFonts w:eastAsia="楷体"/>
                <w:sz w:val="24"/>
              </w:rPr>
              <w:t>万元</w:t>
            </w:r>
          </w:p>
        </w:tc>
      </w:tr>
    </w:tbl>
    <w:p>
      <w:pPr>
        <w:spacing w:line="380" w:lineRule="exact"/>
        <w:ind w:firstLine="480" w:firstLineChars="200"/>
        <w:rPr>
          <w:bCs/>
          <w:sz w:val="24"/>
        </w:rPr>
      </w:pPr>
      <w:r>
        <w:rPr>
          <w:bCs/>
          <w:sz w:val="24"/>
        </w:rPr>
        <w:t>（</w:t>
      </w:r>
      <w:r>
        <w:rPr>
          <w:rFonts w:hint="eastAsia"/>
          <w:bCs/>
          <w:sz w:val="24"/>
        </w:rPr>
        <w:t>b</w:t>
      </w:r>
      <w:r>
        <w:rPr>
          <w:bCs/>
          <w:sz w:val="24"/>
        </w:rPr>
        <w:t>）两体系结合审核初审的最低限价为相应的两个单体系初审最低限价之和的75%；三体系结合审核初审的最低限价为相应的三个单体系初审最低限价之和的65%。</w:t>
      </w:r>
    </w:p>
    <w:p>
      <w:pPr>
        <w:spacing w:line="380" w:lineRule="exact"/>
        <w:ind w:firstLine="480" w:firstLineChars="200"/>
        <w:rPr>
          <w:bCs/>
          <w:sz w:val="24"/>
        </w:rPr>
      </w:pPr>
      <w:r>
        <w:rPr>
          <w:bCs/>
          <w:sz w:val="24"/>
        </w:rPr>
        <w:t>（</w:t>
      </w:r>
      <w:r>
        <w:rPr>
          <w:rFonts w:hint="eastAsia"/>
          <w:bCs/>
          <w:sz w:val="24"/>
        </w:rPr>
        <w:t>c</w:t>
      </w:r>
      <w:r>
        <w:rPr>
          <w:bCs/>
          <w:sz w:val="24"/>
        </w:rPr>
        <w:t>）监督审核的最低限价为相应初审最低限价的1/3；再认证的最低限价为相应初审最低限价的2/3。</w:t>
      </w:r>
    </w:p>
    <w:p>
      <w:pPr>
        <w:spacing w:line="380" w:lineRule="exact"/>
        <w:ind w:firstLine="480" w:firstLineChars="200"/>
        <w:rPr>
          <w:bCs/>
          <w:szCs w:val="21"/>
        </w:rPr>
      </w:pPr>
      <w:r>
        <w:rPr>
          <w:bCs/>
          <w:sz w:val="24"/>
        </w:rPr>
        <w:t>（</w:t>
      </w:r>
      <w:r>
        <w:rPr>
          <w:rFonts w:hint="eastAsia"/>
          <w:bCs/>
          <w:sz w:val="24"/>
        </w:rPr>
        <w:t>d</w:t>
      </w:r>
      <w:r>
        <w:rPr>
          <w:bCs/>
          <w:sz w:val="24"/>
        </w:rPr>
        <w:t>）考虑管理体系覆盖产品的特点、复杂程度和行业风险，其他管理体系标准认证的最低限价可在以上限价基础上增加收费。</w:t>
      </w:r>
    </w:p>
    <w:p>
      <w:pPr>
        <w:spacing w:after="120" w:afterLines="50" w:line="360" w:lineRule="auto"/>
        <w:jc w:val="center"/>
        <w:rPr>
          <w:b/>
          <w:sz w:val="32"/>
          <w:szCs w:val="32"/>
        </w:rPr>
      </w:pPr>
    </w:p>
    <w:p>
      <w:pPr>
        <w:pStyle w:val="2"/>
        <w:spacing w:before="120" w:after="120"/>
        <w:rPr>
          <w:sz w:val="18"/>
          <w:szCs w:val="18"/>
        </w:rPr>
      </w:pPr>
      <w:bookmarkStart w:id="22" w:name="_Toc53087559"/>
      <w:r>
        <w:t>7.0换发证书需提交的资料</w:t>
      </w:r>
      <w:bookmarkEnd w:id="22"/>
    </w:p>
    <w:p>
      <w:pPr>
        <w:spacing w:line="380" w:lineRule="exact"/>
        <w:ind w:firstLine="480" w:firstLineChars="200"/>
        <w:rPr>
          <w:sz w:val="24"/>
          <w:szCs w:val="21"/>
        </w:rPr>
      </w:pPr>
      <w:r>
        <w:rPr>
          <w:sz w:val="24"/>
          <w:szCs w:val="21"/>
        </w:rPr>
        <w:t>获证组织在其名称、注册地址、生产场所、产品范围等发生变化时，应尽快通知中盛更换认证证书，获证组织提出换证申请时应同时提交以下资料：</w:t>
      </w:r>
    </w:p>
    <w:p>
      <w:pPr>
        <w:numPr>
          <w:ilvl w:val="0"/>
          <w:numId w:val="4"/>
        </w:numPr>
        <w:spacing w:line="380" w:lineRule="exact"/>
        <w:ind w:left="840"/>
        <w:rPr>
          <w:sz w:val="24"/>
          <w:szCs w:val="21"/>
        </w:rPr>
      </w:pPr>
      <w:r>
        <w:rPr>
          <w:sz w:val="24"/>
          <w:szCs w:val="21"/>
        </w:rPr>
        <w:t>证书变更申请书并加盖公章；</w:t>
      </w:r>
    </w:p>
    <w:p>
      <w:pPr>
        <w:numPr>
          <w:ilvl w:val="0"/>
          <w:numId w:val="4"/>
        </w:numPr>
        <w:spacing w:line="380" w:lineRule="exact"/>
        <w:ind w:left="840"/>
        <w:rPr>
          <w:sz w:val="24"/>
          <w:szCs w:val="21"/>
        </w:rPr>
      </w:pPr>
      <w:r>
        <w:rPr>
          <w:sz w:val="24"/>
          <w:szCs w:val="21"/>
        </w:rPr>
        <w:t>原版证书；</w:t>
      </w:r>
    </w:p>
    <w:p>
      <w:pPr>
        <w:numPr>
          <w:ilvl w:val="0"/>
          <w:numId w:val="4"/>
        </w:numPr>
        <w:spacing w:line="380" w:lineRule="exact"/>
        <w:ind w:left="840"/>
        <w:rPr>
          <w:sz w:val="24"/>
          <w:szCs w:val="21"/>
        </w:rPr>
      </w:pPr>
      <w:r>
        <w:rPr>
          <w:sz w:val="24"/>
          <w:szCs w:val="21"/>
        </w:rPr>
        <w:t>证书变更部分的中、英文对照资料及其相关证明资料；</w:t>
      </w:r>
    </w:p>
    <w:p>
      <w:pPr>
        <w:numPr>
          <w:ilvl w:val="0"/>
          <w:numId w:val="4"/>
        </w:numPr>
        <w:spacing w:line="380" w:lineRule="exact"/>
        <w:ind w:left="840"/>
        <w:rPr>
          <w:sz w:val="24"/>
          <w:szCs w:val="21"/>
        </w:rPr>
      </w:pPr>
      <w:r>
        <w:rPr>
          <w:sz w:val="24"/>
          <w:szCs w:val="21"/>
        </w:rPr>
        <w:t>如申请组织的名称、注册地址等发生变更时，需提供工商部门批准文件及变更后的营业执照复印件并加盖公章；</w:t>
      </w:r>
    </w:p>
    <w:p>
      <w:pPr>
        <w:numPr>
          <w:ilvl w:val="0"/>
          <w:numId w:val="4"/>
        </w:numPr>
        <w:spacing w:line="380" w:lineRule="exact"/>
        <w:ind w:left="840"/>
        <w:rPr>
          <w:sz w:val="24"/>
          <w:szCs w:val="21"/>
        </w:rPr>
      </w:pPr>
      <w:r>
        <w:rPr>
          <w:sz w:val="24"/>
          <w:szCs w:val="21"/>
        </w:rPr>
        <w:t>如产品范围发生变更，应结合监督审核结论换发证书。</w:t>
      </w:r>
    </w:p>
    <w:p>
      <w:pPr>
        <w:numPr>
          <w:ilvl w:val="0"/>
          <w:numId w:val="4"/>
        </w:numPr>
        <w:spacing w:line="380" w:lineRule="exact"/>
        <w:ind w:left="840"/>
        <w:rPr>
          <w:sz w:val="24"/>
          <w:szCs w:val="21"/>
        </w:rPr>
      </w:pPr>
      <w:r>
        <w:rPr>
          <w:sz w:val="24"/>
          <w:szCs w:val="21"/>
        </w:rPr>
        <w:t>获证组织将上述内容的书面申请文件寄中盛运营部，由技术部评审后办理换证。</w:t>
      </w:r>
    </w:p>
    <w:p>
      <w:pPr>
        <w:spacing w:line="380" w:lineRule="exact"/>
        <w:ind w:firstLine="435"/>
        <w:rPr>
          <w:szCs w:val="21"/>
        </w:rPr>
      </w:pPr>
      <w:r>
        <w:rPr>
          <w:sz w:val="24"/>
          <w:szCs w:val="21"/>
        </w:rPr>
        <w:t>注：本文件可在</w:t>
      </w:r>
      <w:r>
        <w:rPr>
          <w:sz w:val="24"/>
          <w:szCs w:val="21"/>
        </w:rPr>
        <w:fldChar w:fldCharType="begin"/>
      </w:r>
      <w:r>
        <w:rPr>
          <w:sz w:val="24"/>
          <w:szCs w:val="21"/>
        </w:rPr>
        <w:instrText xml:space="preserve"> HYPERLINK "http://www.zs-cert</w:instrText>
      </w:r>
      <w:r>
        <w:rPr>
          <w:rFonts w:eastAsia="MS Mincho"/>
          <w:sz w:val="24"/>
          <w:szCs w:val="21"/>
          <w:lang w:eastAsia="ja-JP"/>
        </w:rPr>
        <w:instrText xml:space="preserve">.com</w:instrText>
      </w:r>
      <w:r>
        <w:rPr>
          <w:sz w:val="24"/>
          <w:szCs w:val="21"/>
        </w:rPr>
        <w:instrText xml:space="preserve">" </w:instrText>
      </w:r>
      <w:r>
        <w:rPr>
          <w:sz w:val="24"/>
          <w:szCs w:val="21"/>
        </w:rPr>
        <w:fldChar w:fldCharType="separate"/>
      </w:r>
      <w:r>
        <w:rPr>
          <w:rStyle w:val="38"/>
          <w:sz w:val="24"/>
          <w:szCs w:val="21"/>
        </w:rPr>
        <w:t>www.zs-cert</w:t>
      </w:r>
      <w:r>
        <w:rPr>
          <w:rStyle w:val="38"/>
          <w:rFonts w:eastAsia="MS Mincho"/>
          <w:sz w:val="24"/>
          <w:szCs w:val="21"/>
          <w:lang w:eastAsia="ja-JP"/>
        </w:rPr>
        <w:t>.com</w:t>
      </w:r>
      <w:r>
        <w:rPr>
          <w:sz w:val="24"/>
          <w:szCs w:val="21"/>
        </w:rPr>
        <w:fldChar w:fldCharType="end"/>
      </w:r>
      <w:r>
        <w:rPr>
          <w:sz w:val="24"/>
          <w:szCs w:val="21"/>
        </w:rPr>
        <w:t>网站“公开文件”栏查询获取。</w:t>
      </w:r>
    </w:p>
    <w:p>
      <w:pPr>
        <w:tabs>
          <w:tab w:val="left" w:pos="5860"/>
        </w:tabs>
        <w:adjustRightInd w:val="0"/>
        <w:snapToGrid w:val="0"/>
        <w:spacing w:line="360" w:lineRule="auto"/>
        <w:ind w:firstLine="3002"/>
        <w:rPr>
          <w:rFonts w:eastAsia="楷体_GB2312"/>
          <w:b/>
          <w:sz w:val="30"/>
          <w:szCs w:val="30"/>
          <w:highlight w:val="none"/>
        </w:rPr>
      </w:pPr>
    </w:p>
    <w:p>
      <w:pPr>
        <w:pStyle w:val="2"/>
        <w:spacing w:before="120" w:after="120"/>
        <w:rPr>
          <w:highlight w:val="none"/>
        </w:rPr>
      </w:pPr>
      <w:bookmarkStart w:id="23" w:name="_Toc53087560"/>
      <w:r>
        <w:rPr>
          <w:highlight w:val="none"/>
        </w:rPr>
        <w:t>8.0获证组织信息通报制度</w:t>
      </w:r>
      <w:bookmarkEnd w:id="23"/>
    </w:p>
    <w:p>
      <w:pPr>
        <w:tabs>
          <w:tab w:val="left" w:pos="5860"/>
        </w:tabs>
        <w:adjustRightInd w:val="0"/>
        <w:snapToGrid w:val="0"/>
        <w:spacing w:line="380" w:lineRule="exact"/>
        <w:rPr>
          <w:sz w:val="24"/>
          <w:highlight w:val="none"/>
        </w:rPr>
      </w:pPr>
      <w:r>
        <w:rPr>
          <w:sz w:val="24"/>
          <w:highlight w:val="none"/>
        </w:rPr>
        <w:t>8.1获证组织必须如实将获证组织信息及时通报中盛。通报内容如下：</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法律地位、经营状况、组织状态或所有权的变更；</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组织和管理层（如关键的管理、决策或技术人员）；</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获证组织体系覆盖人数的变更；</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联系地址和场所的变更；</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获证管理体系覆盖的运作范围的变更；</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接受省级/国家质量监督部门的产品抽查结果，接受当地环保部门环保检查结果；</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管理体系和过程的重大变更；</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顾客申诉、投诉的情况</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获证组织发生质量环境安全事故</w:t>
      </w:r>
    </w:p>
    <w:p>
      <w:pPr>
        <w:pStyle w:val="78"/>
        <w:numPr>
          <w:ilvl w:val="0"/>
          <w:numId w:val="5"/>
        </w:numPr>
        <w:tabs>
          <w:tab w:val="left" w:pos="851"/>
        </w:tabs>
        <w:adjustRightInd w:val="0"/>
        <w:snapToGrid w:val="0"/>
        <w:spacing w:line="380" w:lineRule="exact"/>
        <w:ind w:firstLineChars="0"/>
        <w:rPr>
          <w:sz w:val="24"/>
          <w:highlight w:val="none"/>
        </w:rPr>
      </w:pPr>
      <w:r>
        <w:rPr>
          <w:sz w:val="24"/>
          <w:highlight w:val="none"/>
        </w:rPr>
        <w:t>其他方面的变更信息。</w:t>
      </w:r>
    </w:p>
    <w:p>
      <w:pPr>
        <w:tabs>
          <w:tab w:val="left" w:pos="5860"/>
        </w:tabs>
        <w:adjustRightInd w:val="0"/>
        <w:snapToGrid w:val="0"/>
        <w:spacing w:line="380" w:lineRule="exact"/>
        <w:ind w:left="480" w:hanging="480" w:hangingChars="200"/>
        <w:rPr>
          <w:sz w:val="24"/>
          <w:highlight w:val="none"/>
        </w:rPr>
      </w:pPr>
      <w:r>
        <w:rPr>
          <w:sz w:val="24"/>
          <w:highlight w:val="none"/>
        </w:rPr>
        <w:t>8.2.若获证组织通报不及时或不属实，造成审核无效，一经发现，中盛将视具体情况予以暂停认证证书使用或撤销认证证书。</w:t>
      </w:r>
    </w:p>
    <w:p>
      <w:pPr>
        <w:tabs>
          <w:tab w:val="left" w:pos="5860"/>
        </w:tabs>
        <w:adjustRightInd w:val="0"/>
        <w:snapToGrid w:val="0"/>
        <w:spacing w:line="380" w:lineRule="exact"/>
        <w:ind w:left="480" w:hanging="480" w:hangingChars="200"/>
        <w:rPr>
          <w:sz w:val="24"/>
          <w:highlight w:val="none"/>
        </w:rPr>
      </w:pPr>
    </w:p>
    <w:p>
      <w:pPr>
        <w:pStyle w:val="2"/>
        <w:spacing w:before="120" w:after="120"/>
      </w:pPr>
      <w:bookmarkStart w:id="24" w:name="_Toc53087561"/>
      <w:r>
        <w:t>9.0对授予、拒绝、保持认证，扩大或缩小认证范围，更新、暂停、恢复或撤销认证和再认证注册的说明</w:t>
      </w:r>
      <w:bookmarkEnd w:id="24"/>
    </w:p>
    <w:p>
      <w:pPr>
        <w:spacing w:line="380" w:lineRule="exact"/>
        <w:rPr>
          <w:b/>
          <w:sz w:val="24"/>
        </w:rPr>
      </w:pPr>
      <w:r>
        <w:rPr>
          <w:b/>
          <w:sz w:val="24"/>
        </w:rPr>
        <w:t>9.1授予认证</w:t>
      </w:r>
    </w:p>
    <w:p>
      <w:pPr>
        <w:spacing w:line="380" w:lineRule="exact"/>
        <w:ind w:firstLine="348" w:firstLineChars="145"/>
        <w:rPr>
          <w:sz w:val="24"/>
        </w:rPr>
      </w:pPr>
      <w:r>
        <w:rPr>
          <w:sz w:val="24"/>
        </w:rPr>
        <w:t>受审核组织满足下列要求时，授予认证：</w:t>
      </w:r>
    </w:p>
    <w:p>
      <w:pPr>
        <w:tabs>
          <w:tab w:val="left" w:pos="851"/>
        </w:tabs>
        <w:spacing w:line="380" w:lineRule="exact"/>
        <w:ind w:left="850" w:leftChars="204" w:hanging="422" w:hangingChars="176"/>
        <w:rPr>
          <w:sz w:val="24"/>
        </w:rPr>
      </w:pPr>
      <w:r>
        <w:rPr>
          <w:sz w:val="24"/>
        </w:rPr>
        <w:t>a）正式提出认证申请，并承诺遵守中盛认证要求；</w:t>
      </w:r>
    </w:p>
    <w:p>
      <w:pPr>
        <w:tabs>
          <w:tab w:val="left" w:pos="851"/>
        </w:tabs>
        <w:spacing w:line="380" w:lineRule="exact"/>
        <w:ind w:left="850" w:leftChars="204" w:hanging="422" w:hangingChars="176"/>
        <w:rPr>
          <w:sz w:val="24"/>
        </w:rPr>
      </w:pPr>
      <w:r>
        <w:rPr>
          <w:sz w:val="24"/>
        </w:rPr>
        <w:t>b）具有有效的法律地位（营业执照、生产/经营许可证和/或资质证明）；</w:t>
      </w:r>
    </w:p>
    <w:p>
      <w:pPr>
        <w:tabs>
          <w:tab w:val="left" w:pos="851"/>
        </w:tabs>
        <w:spacing w:line="380" w:lineRule="exact"/>
        <w:ind w:left="850" w:leftChars="204" w:hanging="422" w:hangingChars="176"/>
        <w:rPr>
          <w:sz w:val="24"/>
        </w:rPr>
      </w:pPr>
      <w:r>
        <w:rPr>
          <w:sz w:val="24"/>
        </w:rPr>
        <w:t>c）初次认证审核/扩大认证领域认证审核的审核发现标明其管理体系的建立、实施和保持符合选定的认证标准（管理体系标准和/或CNAS认可的特定认证项目规范）；</w:t>
      </w:r>
    </w:p>
    <w:p>
      <w:pPr>
        <w:tabs>
          <w:tab w:val="left" w:pos="851"/>
        </w:tabs>
        <w:spacing w:line="380" w:lineRule="exact"/>
        <w:ind w:left="850" w:leftChars="204" w:hanging="422" w:hangingChars="176"/>
        <w:rPr>
          <w:sz w:val="24"/>
        </w:rPr>
      </w:pPr>
      <w:r>
        <w:rPr>
          <w:sz w:val="24"/>
        </w:rPr>
        <w:t>d）不符合项纠正措施经验证表明已按规定期限完成且有效；</w:t>
      </w:r>
    </w:p>
    <w:p>
      <w:pPr>
        <w:tabs>
          <w:tab w:val="left" w:pos="851"/>
        </w:tabs>
        <w:spacing w:line="380" w:lineRule="exact"/>
        <w:ind w:left="850" w:leftChars="204" w:hanging="422" w:hangingChars="176"/>
        <w:rPr>
          <w:sz w:val="24"/>
        </w:rPr>
      </w:pPr>
      <w:r>
        <w:rPr>
          <w:sz w:val="24"/>
        </w:rPr>
        <w:t>e）已按认证合同规定缴纳认证费。</w:t>
      </w:r>
    </w:p>
    <w:p>
      <w:pPr>
        <w:tabs>
          <w:tab w:val="left" w:pos="180"/>
          <w:tab w:val="left" w:pos="360"/>
          <w:tab w:val="left" w:pos="900"/>
        </w:tabs>
        <w:spacing w:line="380" w:lineRule="exact"/>
        <w:ind w:firstLine="960" w:firstLineChars="400"/>
        <w:rPr>
          <w:sz w:val="24"/>
        </w:rPr>
      </w:pPr>
    </w:p>
    <w:p>
      <w:pPr>
        <w:tabs>
          <w:tab w:val="left" w:pos="180"/>
          <w:tab w:val="left" w:pos="360"/>
          <w:tab w:val="left" w:pos="900"/>
        </w:tabs>
        <w:spacing w:line="380" w:lineRule="exact"/>
        <w:rPr>
          <w:b/>
          <w:sz w:val="24"/>
        </w:rPr>
      </w:pPr>
      <w:r>
        <w:rPr>
          <w:b/>
          <w:sz w:val="24"/>
        </w:rPr>
        <w:t xml:space="preserve">9.2拒绝认证  </w:t>
      </w:r>
    </w:p>
    <w:p>
      <w:pPr>
        <w:tabs>
          <w:tab w:val="left" w:pos="180"/>
          <w:tab w:val="left" w:pos="360"/>
          <w:tab w:val="left" w:pos="900"/>
        </w:tabs>
        <w:spacing w:line="380" w:lineRule="exact"/>
        <w:ind w:firstLine="720" w:firstLineChars="300"/>
        <w:rPr>
          <w:sz w:val="24"/>
        </w:rPr>
      </w:pPr>
      <w:r>
        <w:rPr>
          <w:sz w:val="24"/>
        </w:rPr>
        <w:t>申请组织提供的证据不足以证明获证组织管理体系符合认证规范的要求和公司的规定， 拒绝申请组织相应管理体系可在公司进行认证注册。</w:t>
      </w:r>
    </w:p>
    <w:p>
      <w:pPr>
        <w:tabs>
          <w:tab w:val="left" w:pos="180"/>
          <w:tab w:val="left" w:pos="360"/>
          <w:tab w:val="left" w:pos="900"/>
        </w:tabs>
        <w:spacing w:line="380" w:lineRule="exact"/>
        <w:ind w:firstLine="720" w:firstLineChars="300"/>
        <w:rPr>
          <w:sz w:val="24"/>
        </w:rPr>
      </w:pPr>
    </w:p>
    <w:p>
      <w:pPr>
        <w:spacing w:line="380" w:lineRule="exact"/>
        <w:rPr>
          <w:b/>
          <w:color w:val="000000" w:themeColor="text1"/>
          <w:sz w:val="24"/>
          <w14:textFill>
            <w14:solidFill>
              <w14:schemeClr w14:val="tx1"/>
            </w14:solidFill>
          </w14:textFill>
        </w:rPr>
      </w:pPr>
      <w:r>
        <w:rPr>
          <w:b/>
          <w:sz w:val="24"/>
        </w:rPr>
        <w:t>9.</w:t>
      </w:r>
      <w:r>
        <w:rPr>
          <w:b/>
          <w:color w:val="000000" w:themeColor="text1"/>
          <w:sz w:val="24"/>
          <w14:textFill>
            <w14:solidFill>
              <w14:schemeClr w14:val="tx1"/>
            </w14:solidFill>
          </w14:textFill>
        </w:rPr>
        <w:t>3保持认证</w:t>
      </w:r>
    </w:p>
    <w:p>
      <w:pPr>
        <w:tabs>
          <w:tab w:val="left" w:pos="900"/>
        </w:tabs>
        <w:spacing w:line="380" w:lineRule="exact"/>
        <w:rPr>
          <w:sz w:val="24"/>
        </w:rPr>
      </w:pPr>
      <w:r>
        <w:rPr>
          <w:sz w:val="24"/>
        </w:rPr>
        <w:t>9.3.1 监督审核（含非例行监督审核）</w:t>
      </w:r>
    </w:p>
    <w:p>
      <w:pPr>
        <w:tabs>
          <w:tab w:val="left" w:pos="900"/>
        </w:tabs>
        <w:spacing w:line="380" w:lineRule="exact"/>
        <w:ind w:firstLine="240" w:firstLineChars="100"/>
        <w:rPr>
          <w:sz w:val="24"/>
        </w:rPr>
      </w:pPr>
      <w:r>
        <w:rPr>
          <w:sz w:val="24"/>
        </w:rPr>
        <w:t xml:space="preserve"> 获证客户/认证转换申请组织满足下列要求时准予保持认证：</w:t>
      </w:r>
    </w:p>
    <w:p>
      <w:pPr>
        <w:spacing w:line="380" w:lineRule="exact"/>
        <w:ind w:firstLine="480" w:firstLineChars="200"/>
        <w:rPr>
          <w:sz w:val="24"/>
        </w:rPr>
      </w:pPr>
      <w:r>
        <w:rPr>
          <w:sz w:val="24"/>
        </w:rPr>
        <w:t>a）已按规定的频次和周期接受监督审核；</w:t>
      </w:r>
    </w:p>
    <w:p>
      <w:pPr>
        <w:spacing w:line="380" w:lineRule="exact"/>
        <w:ind w:firstLine="480" w:firstLineChars="200"/>
        <w:rPr>
          <w:sz w:val="24"/>
        </w:rPr>
      </w:pPr>
      <w:r>
        <w:rPr>
          <w:sz w:val="24"/>
        </w:rPr>
        <w:t>b）审核发现表明其管理体系的实施、保持和持续改进符合选定的认证标准；</w:t>
      </w:r>
    </w:p>
    <w:p>
      <w:pPr>
        <w:spacing w:line="380" w:lineRule="exact"/>
        <w:ind w:firstLine="480" w:firstLineChars="200"/>
        <w:rPr>
          <w:sz w:val="24"/>
        </w:rPr>
      </w:pPr>
      <w:r>
        <w:rPr>
          <w:sz w:val="24"/>
        </w:rPr>
        <w:t>c）法律地位有效；</w:t>
      </w:r>
    </w:p>
    <w:p>
      <w:pPr>
        <w:spacing w:line="380" w:lineRule="exact"/>
        <w:ind w:firstLine="480" w:firstLineChars="200"/>
        <w:rPr>
          <w:sz w:val="24"/>
        </w:rPr>
      </w:pPr>
      <w:r>
        <w:rPr>
          <w:sz w:val="24"/>
        </w:rPr>
        <w:t>d）以往内部审核和外部审核的不符合项纠正措施持续有效；</w:t>
      </w:r>
    </w:p>
    <w:p>
      <w:pPr>
        <w:spacing w:line="380" w:lineRule="exact"/>
        <w:ind w:firstLine="480" w:firstLineChars="200"/>
        <w:rPr>
          <w:sz w:val="24"/>
        </w:rPr>
      </w:pPr>
      <w:r>
        <w:rPr>
          <w:sz w:val="24"/>
        </w:rPr>
        <w:t>e）产品、环境和/或安全经国家主管部门监督检查/监测合格；</w:t>
      </w:r>
    </w:p>
    <w:p>
      <w:pPr>
        <w:spacing w:line="380" w:lineRule="exact"/>
        <w:ind w:firstLine="480" w:firstLineChars="200"/>
        <w:rPr>
          <w:sz w:val="24"/>
        </w:rPr>
      </w:pPr>
      <w:r>
        <w:rPr>
          <w:sz w:val="24"/>
        </w:rPr>
        <w:t>f）顾客和/或相关方面的抱怨已得到有效处理；</w:t>
      </w:r>
    </w:p>
    <w:p>
      <w:pPr>
        <w:spacing w:line="380" w:lineRule="exact"/>
        <w:ind w:firstLine="480" w:firstLineChars="200"/>
        <w:rPr>
          <w:sz w:val="24"/>
        </w:rPr>
      </w:pPr>
      <w:r>
        <w:rPr>
          <w:sz w:val="24"/>
        </w:rPr>
        <w:t>g）本次审核不符合项纠正措施经验证表明已按规定期限完成且有效；</w:t>
      </w:r>
    </w:p>
    <w:p>
      <w:pPr>
        <w:spacing w:line="380" w:lineRule="exact"/>
        <w:ind w:firstLine="480" w:firstLineChars="200"/>
        <w:rPr>
          <w:sz w:val="24"/>
        </w:rPr>
      </w:pPr>
      <w:r>
        <w:rPr>
          <w:sz w:val="24"/>
        </w:rPr>
        <w:t>h）未发生误用/滥用认证标志、认证证书和误导性宣传认证状态行为；</w:t>
      </w:r>
    </w:p>
    <w:p>
      <w:pPr>
        <w:spacing w:line="380" w:lineRule="exact"/>
        <w:ind w:firstLine="480" w:firstLineChars="200"/>
        <w:rPr>
          <w:sz w:val="24"/>
        </w:rPr>
      </w:pPr>
      <w:r>
        <w:rPr>
          <w:sz w:val="24"/>
        </w:rPr>
        <w:t>i）认证转换申请组织提供的认证证书有效；</w:t>
      </w:r>
    </w:p>
    <w:p>
      <w:pPr>
        <w:spacing w:line="380" w:lineRule="exact"/>
        <w:ind w:firstLine="480" w:firstLineChars="200"/>
        <w:rPr>
          <w:sz w:val="24"/>
        </w:rPr>
      </w:pPr>
      <w:r>
        <w:rPr>
          <w:sz w:val="24"/>
        </w:rPr>
        <w:t>j）已按认证合同规定缴纳认证费。</w:t>
      </w:r>
    </w:p>
    <w:p>
      <w:pPr>
        <w:tabs>
          <w:tab w:val="left" w:pos="180"/>
          <w:tab w:val="left" w:pos="360"/>
          <w:tab w:val="left" w:pos="900"/>
        </w:tabs>
        <w:spacing w:line="380" w:lineRule="exact"/>
        <w:rPr>
          <w:sz w:val="24"/>
        </w:rPr>
      </w:pPr>
      <w:r>
        <w:rPr>
          <w:sz w:val="24"/>
        </w:rPr>
        <w:t>9.3.2 特殊审核</w:t>
      </w:r>
    </w:p>
    <w:p>
      <w:pPr>
        <w:spacing w:line="380" w:lineRule="exact"/>
        <w:ind w:firstLine="480" w:firstLineChars="200"/>
        <w:rPr>
          <w:sz w:val="24"/>
        </w:rPr>
      </w:pPr>
      <w:r>
        <w:rPr>
          <w:sz w:val="24"/>
        </w:rPr>
        <w:t>特殊审核包括：</w:t>
      </w:r>
    </w:p>
    <w:p>
      <w:pPr>
        <w:spacing w:line="380" w:lineRule="exact"/>
        <w:ind w:left="424" w:leftChars="202" w:firstLine="36" w:firstLineChars="15"/>
        <w:rPr>
          <w:sz w:val="24"/>
        </w:rPr>
      </w:pPr>
      <w:r>
        <w:rPr>
          <w:sz w:val="24"/>
        </w:rPr>
        <w:t>a）当投诉事项与获证客户有关时，为确认其管理体系的有效性而进行的必要现场调查；</w:t>
      </w:r>
    </w:p>
    <w:p>
      <w:pPr>
        <w:spacing w:line="380" w:lineRule="exact"/>
        <w:ind w:left="696" w:leftChars="217" w:hanging="240" w:hangingChars="100"/>
        <w:rPr>
          <w:sz w:val="24"/>
        </w:rPr>
      </w:pPr>
      <w:r>
        <w:rPr>
          <w:sz w:val="24"/>
        </w:rPr>
        <w:t>b）获证客户发生下列变更之时，为确认其管理体系持续保持满足认证标准要求的能力而进行的必要现场审核：</w:t>
      </w:r>
    </w:p>
    <w:p>
      <w:pPr>
        <w:spacing w:line="380" w:lineRule="exact"/>
        <w:ind w:left="850" w:leftChars="405"/>
        <w:rPr>
          <w:sz w:val="24"/>
        </w:rPr>
      </w:pPr>
      <w:r>
        <w:rPr>
          <w:sz w:val="24"/>
        </w:rPr>
        <w:fldChar w:fldCharType="begin"/>
      </w:r>
      <w:r>
        <w:rPr>
          <w:sz w:val="24"/>
        </w:rPr>
        <w:instrText xml:space="preserve"> = 1 \* GB2 </w:instrText>
      </w:r>
      <w:r>
        <w:rPr>
          <w:sz w:val="24"/>
        </w:rPr>
        <w:fldChar w:fldCharType="separate"/>
      </w:r>
      <w:r>
        <w:rPr>
          <w:rFonts w:hint="eastAsia" w:ascii="宋体" w:hAnsi="宋体" w:cs="宋体"/>
          <w:sz w:val="24"/>
        </w:rPr>
        <w:t>⑴</w:t>
      </w:r>
      <w:r>
        <w:rPr>
          <w:sz w:val="24"/>
        </w:rPr>
        <w:fldChar w:fldCharType="end"/>
      </w:r>
      <w:r>
        <w:rPr>
          <w:sz w:val="24"/>
        </w:rPr>
        <w:t>法律地位（营业执照、生产/经营许可证和/或资质证明）、经营状况、组织性质或所有权变更；</w:t>
      </w:r>
    </w:p>
    <w:p>
      <w:pPr>
        <w:spacing w:line="380" w:lineRule="exact"/>
        <w:ind w:left="850" w:leftChars="405"/>
        <w:rPr>
          <w:sz w:val="24"/>
        </w:rPr>
      </w:pPr>
      <w:r>
        <w:rPr>
          <w:sz w:val="24"/>
        </w:rPr>
        <w:fldChar w:fldCharType="begin"/>
      </w:r>
      <w:r>
        <w:rPr>
          <w:sz w:val="24"/>
        </w:rPr>
        <w:instrText xml:space="preserve"> = 2 \* GB2 </w:instrText>
      </w:r>
      <w:r>
        <w:rPr>
          <w:sz w:val="24"/>
        </w:rPr>
        <w:fldChar w:fldCharType="separate"/>
      </w:r>
      <w:r>
        <w:rPr>
          <w:rFonts w:hint="eastAsia" w:ascii="宋体" w:hAnsi="宋体" w:cs="宋体"/>
          <w:sz w:val="24"/>
        </w:rPr>
        <w:t>⑵</w:t>
      </w:r>
      <w:r>
        <w:rPr>
          <w:sz w:val="24"/>
        </w:rPr>
        <w:fldChar w:fldCharType="end"/>
      </w:r>
      <w:r>
        <w:rPr>
          <w:sz w:val="24"/>
        </w:rPr>
        <w:t>管理层（含关键的管理、决策或技术人员）或组织结构的变更；</w:t>
      </w:r>
    </w:p>
    <w:p>
      <w:pPr>
        <w:spacing w:line="380" w:lineRule="exact"/>
        <w:ind w:left="850" w:leftChars="405"/>
        <w:rPr>
          <w:sz w:val="24"/>
        </w:rPr>
      </w:pPr>
      <w:r>
        <w:rPr>
          <w:sz w:val="24"/>
        </w:rPr>
        <w:fldChar w:fldCharType="begin"/>
      </w:r>
      <w:r>
        <w:rPr>
          <w:sz w:val="24"/>
        </w:rPr>
        <w:instrText xml:space="preserve"> = 3 \* GB2 </w:instrText>
      </w:r>
      <w:r>
        <w:rPr>
          <w:sz w:val="24"/>
        </w:rPr>
        <w:fldChar w:fldCharType="separate"/>
      </w:r>
      <w:r>
        <w:rPr>
          <w:rFonts w:hint="eastAsia" w:ascii="宋体" w:hAnsi="宋体" w:cs="宋体"/>
          <w:sz w:val="24"/>
        </w:rPr>
        <w:t>⑶</w:t>
      </w:r>
      <w:r>
        <w:rPr>
          <w:sz w:val="24"/>
        </w:rPr>
        <w:fldChar w:fldCharType="end"/>
      </w:r>
      <w:r>
        <w:rPr>
          <w:sz w:val="24"/>
        </w:rPr>
        <w:t>地址和/或地域场所得变更；</w:t>
      </w:r>
    </w:p>
    <w:p>
      <w:pPr>
        <w:spacing w:line="380" w:lineRule="exact"/>
        <w:ind w:left="850" w:leftChars="405"/>
        <w:rPr>
          <w:sz w:val="24"/>
        </w:rPr>
      </w:pPr>
      <w:r>
        <w:rPr>
          <w:sz w:val="24"/>
        </w:rPr>
        <w:fldChar w:fldCharType="begin"/>
      </w:r>
      <w:r>
        <w:rPr>
          <w:sz w:val="24"/>
        </w:rPr>
        <w:instrText xml:space="preserve"> = 4 \* GB2 </w:instrText>
      </w:r>
      <w:r>
        <w:rPr>
          <w:sz w:val="24"/>
        </w:rPr>
        <w:fldChar w:fldCharType="separate"/>
      </w:r>
      <w:r>
        <w:rPr>
          <w:rFonts w:hint="eastAsia" w:ascii="宋体" w:hAnsi="宋体" w:cs="宋体"/>
          <w:sz w:val="24"/>
        </w:rPr>
        <w:t>⑷</w:t>
      </w:r>
      <w:r>
        <w:rPr>
          <w:sz w:val="24"/>
        </w:rPr>
        <w:fldChar w:fldCharType="end"/>
      </w:r>
      <w:r>
        <w:rPr>
          <w:sz w:val="24"/>
        </w:rPr>
        <w:t>获证管理体覆盖的运作范围的变更；</w:t>
      </w:r>
    </w:p>
    <w:p>
      <w:pPr>
        <w:spacing w:line="380" w:lineRule="exact"/>
        <w:ind w:left="850" w:leftChars="405"/>
        <w:rPr>
          <w:sz w:val="24"/>
        </w:rPr>
      </w:pPr>
      <w:r>
        <w:rPr>
          <w:sz w:val="24"/>
        </w:rPr>
        <w:fldChar w:fldCharType="begin"/>
      </w:r>
      <w:r>
        <w:rPr>
          <w:sz w:val="24"/>
        </w:rPr>
        <w:instrText xml:space="preserve"> = 5 \* GB2 </w:instrText>
      </w:r>
      <w:r>
        <w:rPr>
          <w:sz w:val="24"/>
        </w:rPr>
        <w:fldChar w:fldCharType="separate"/>
      </w:r>
      <w:r>
        <w:rPr>
          <w:rFonts w:hint="eastAsia" w:ascii="宋体" w:hAnsi="宋体" w:cs="宋体"/>
          <w:sz w:val="24"/>
        </w:rPr>
        <w:t>⑸</w:t>
      </w:r>
      <w:r>
        <w:rPr>
          <w:sz w:val="24"/>
        </w:rPr>
        <w:fldChar w:fldCharType="end"/>
      </w:r>
      <w:r>
        <w:rPr>
          <w:sz w:val="24"/>
        </w:rPr>
        <w:t>管理体系和过程的重大变更。</w:t>
      </w:r>
    </w:p>
    <w:p>
      <w:pPr>
        <w:spacing w:line="380" w:lineRule="exact"/>
        <w:ind w:left="424" w:leftChars="202" w:firstLine="36" w:firstLineChars="15"/>
        <w:rPr>
          <w:sz w:val="24"/>
        </w:rPr>
      </w:pPr>
      <w:r>
        <w:rPr>
          <w:sz w:val="24"/>
        </w:rPr>
        <w:t>c）对暂停认证客户的追踪审核。</w:t>
      </w:r>
    </w:p>
    <w:p>
      <w:pPr>
        <w:tabs>
          <w:tab w:val="left" w:pos="180"/>
          <w:tab w:val="left" w:pos="360"/>
          <w:tab w:val="left" w:pos="900"/>
        </w:tabs>
        <w:spacing w:line="380" w:lineRule="exact"/>
        <w:rPr>
          <w:sz w:val="24"/>
        </w:rPr>
      </w:pPr>
      <w:r>
        <w:rPr>
          <w:sz w:val="24"/>
        </w:rPr>
        <w:t>9.3.3 再认证</w:t>
      </w:r>
    </w:p>
    <w:p>
      <w:pPr>
        <w:tabs>
          <w:tab w:val="left" w:pos="180"/>
          <w:tab w:val="left" w:pos="360"/>
          <w:tab w:val="left" w:pos="540"/>
          <w:tab w:val="left" w:pos="720"/>
          <w:tab w:val="left" w:pos="900"/>
        </w:tabs>
        <w:spacing w:line="380" w:lineRule="exact"/>
        <w:ind w:firstLine="480" w:firstLineChars="200"/>
        <w:rPr>
          <w:sz w:val="24"/>
        </w:rPr>
      </w:pPr>
      <w:r>
        <w:rPr>
          <w:sz w:val="24"/>
        </w:rPr>
        <w:t>获证客户在认证证书有效期满前正式提出再认证申请，经再认证审核和技术部按《保持认证管理程序》审查评价，当满足要求时，做出准予更新认证的认证决定，报总经理批准。</w:t>
      </w:r>
    </w:p>
    <w:p>
      <w:pPr>
        <w:tabs>
          <w:tab w:val="left" w:pos="180"/>
          <w:tab w:val="left" w:pos="360"/>
          <w:tab w:val="left" w:pos="540"/>
          <w:tab w:val="left" w:pos="720"/>
          <w:tab w:val="left" w:pos="900"/>
        </w:tabs>
        <w:spacing w:line="380" w:lineRule="exact"/>
        <w:ind w:firstLine="480" w:firstLineChars="200"/>
        <w:rPr>
          <w:sz w:val="24"/>
        </w:rPr>
      </w:pPr>
    </w:p>
    <w:p>
      <w:pPr>
        <w:spacing w:line="380" w:lineRule="exact"/>
        <w:rPr>
          <w:b/>
          <w:sz w:val="24"/>
        </w:rPr>
      </w:pPr>
      <w:r>
        <w:rPr>
          <w:b/>
          <w:sz w:val="24"/>
        </w:rPr>
        <w:t>9.4 扩大认证范围认证</w:t>
      </w:r>
    </w:p>
    <w:p>
      <w:pPr>
        <w:tabs>
          <w:tab w:val="left" w:pos="180"/>
          <w:tab w:val="left" w:pos="360"/>
          <w:tab w:val="left" w:pos="720"/>
          <w:tab w:val="left" w:pos="900"/>
        </w:tabs>
        <w:spacing w:line="380" w:lineRule="exact"/>
        <w:ind w:firstLine="480" w:firstLineChars="200"/>
        <w:rPr>
          <w:sz w:val="24"/>
        </w:rPr>
      </w:pPr>
      <w:r>
        <w:rPr>
          <w:sz w:val="24"/>
        </w:rPr>
        <w:t>a）现认证证书有效；</w:t>
      </w:r>
    </w:p>
    <w:p>
      <w:pPr>
        <w:tabs>
          <w:tab w:val="left" w:pos="180"/>
          <w:tab w:val="left" w:pos="360"/>
          <w:tab w:val="left" w:pos="720"/>
          <w:tab w:val="left" w:pos="900"/>
        </w:tabs>
        <w:spacing w:line="380" w:lineRule="exact"/>
        <w:ind w:firstLine="480" w:firstLineChars="200"/>
        <w:rPr>
          <w:sz w:val="24"/>
        </w:rPr>
      </w:pPr>
      <w:r>
        <w:rPr>
          <w:sz w:val="24"/>
        </w:rPr>
        <w:t>b）审核发现表明申请扩大的认证范围部分符合认证标准要求，且为其管理体系所覆盖；</w:t>
      </w:r>
    </w:p>
    <w:p>
      <w:pPr>
        <w:tabs>
          <w:tab w:val="left" w:pos="180"/>
          <w:tab w:val="left" w:pos="360"/>
          <w:tab w:val="left" w:pos="720"/>
          <w:tab w:val="left" w:pos="900"/>
        </w:tabs>
        <w:spacing w:line="380" w:lineRule="exact"/>
        <w:ind w:firstLine="480" w:firstLineChars="200"/>
        <w:rPr>
          <w:sz w:val="24"/>
        </w:rPr>
      </w:pPr>
      <w:r>
        <w:rPr>
          <w:sz w:val="24"/>
        </w:rPr>
        <w:t>c）扩大认证范围所涉及的产品、环境和/或安全经国家主管部门监督检查/监测；</w:t>
      </w:r>
    </w:p>
    <w:p>
      <w:pPr>
        <w:tabs>
          <w:tab w:val="left" w:pos="180"/>
          <w:tab w:val="left" w:pos="360"/>
          <w:tab w:val="left" w:pos="720"/>
          <w:tab w:val="left" w:pos="900"/>
        </w:tabs>
        <w:spacing w:line="380" w:lineRule="exact"/>
        <w:ind w:firstLine="480" w:firstLineChars="200"/>
        <w:rPr>
          <w:sz w:val="24"/>
        </w:rPr>
      </w:pPr>
      <w:r>
        <w:rPr>
          <w:sz w:val="24"/>
        </w:rPr>
        <w:t>d）本次审核不符合项纠正措施经验证表明已按规定期限完成且有效；</w:t>
      </w:r>
    </w:p>
    <w:p>
      <w:pPr>
        <w:tabs>
          <w:tab w:val="left" w:pos="180"/>
          <w:tab w:val="left" w:pos="360"/>
          <w:tab w:val="left" w:pos="720"/>
          <w:tab w:val="left" w:pos="900"/>
        </w:tabs>
        <w:spacing w:line="380" w:lineRule="exact"/>
        <w:ind w:firstLine="480" w:firstLineChars="200"/>
        <w:rPr>
          <w:sz w:val="24"/>
        </w:rPr>
      </w:pPr>
      <w:r>
        <w:rPr>
          <w:sz w:val="24"/>
        </w:rPr>
        <w:t>e）已按认证合同规定缴纳认证费。</w:t>
      </w:r>
    </w:p>
    <w:p>
      <w:pPr>
        <w:tabs>
          <w:tab w:val="left" w:pos="180"/>
          <w:tab w:val="left" w:pos="360"/>
          <w:tab w:val="left" w:pos="720"/>
          <w:tab w:val="left" w:pos="900"/>
        </w:tabs>
        <w:spacing w:line="380" w:lineRule="exact"/>
        <w:ind w:firstLine="480" w:firstLineChars="200"/>
        <w:rPr>
          <w:sz w:val="24"/>
        </w:rPr>
      </w:pPr>
      <w:r>
        <w:rPr>
          <w:sz w:val="24"/>
        </w:rPr>
        <w:t>当认证决定为不准予扩大认证范围时，运营部将该认证决定通知相应客户，并说明理由。</w:t>
      </w:r>
    </w:p>
    <w:p>
      <w:pPr>
        <w:tabs>
          <w:tab w:val="left" w:pos="180"/>
          <w:tab w:val="left" w:pos="360"/>
          <w:tab w:val="left" w:pos="720"/>
          <w:tab w:val="left" w:pos="900"/>
        </w:tabs>
        <w:spacing w:line="380" w:lineRule="exact"/>
        <w:ind w:firstLine="480" w:firstLineChars="200"/>
        <w:rPr>
          <w:sz w:val="24"/>
        </w:rPr>
      </w:pPr>
    </w:p>
    <w:p>
      <w:pPr>
        <w:tabs>
          <w:tab w:val="left" w:pos="180"/>
          <w:tab w:val="left" w:pos="360"/>
          <w:tab w:val="left" w:pos="720"/>
          <w:tab w:val="left" w:pos="900"/>
        </w:tabs>
        <w:spacing w:line="380" w:lineRule="exact"/>
        <w:rPr>
          <w:b/>
          <w:sz w:val="24"/>
        </w:rPr>
      </w:pPr>
      <w:r>
        <w:rPr>
          <w:b/>
          <w:sz w:val="24"/>
        </w:rPr>
        <w:t>9.5 缩小认证范围认证</w:t>
      </w:r>
    </w:p>
    <w:p>
      <w:pPr>
        <w:tabs>
          <w:tab w:val="left" w:pos="180"/>
          <w:tab w:val="left" w:pos="360"/>
          <w:tab w:val="left" w:pos="720"/>
          <w:tab w:val="left" w:pos="900"/>
        </w:tabs>
        <w:spacing w:line="380" w:lineRule="exact"/>
        <w:ind w:firstLine="240" w:firstLineChars="100"/>
        <w:rPr>
          <w:sz w:val="24"/>
        </w:rPr>
      </w:pPr>
      <w:r>
        <w:rPr>
          <w:sz w:val="24"/>
        </w:rPr>
        <w:t>当发生下列情况之一时，予以缩小认证范围：</w:t>
      </w:r>
    </w:p>
    <w:p>
      <w:pPr>
        <w:tabs>
          <w:tab w:val="left" w:pos="180"/>
          <w:tab w:val="left" w:pos="360"/>
          <w:tab w:val="left" w:pos="720"/>
          <w:tab w:val="left" w:pos="900"/>
        </w:tabs>
        <w:spacing w:line="380" w:lineRule="exact"/>
        <w:ind w:firstLine="480" w:firstLineChars="200"/>
        <w:rPr>
          <w:sz w:val="24"/>
        </w:rPr>
      </w:pPr>
      <w:r>
        <w:rPr>
          <w:sz w:val="24"/>
        </w:rPr>
        <w:t>a）获证客户正式提出缩小认证范围的书面申请；</w:t>
      </w:r>
    </w:p>
    <w:p>
      <w:pPr>
        <w:tabs>
          <w:tab w:val="left" w:pos="180"/>
          <w:tab w:val="left" w:pos="360"/>
          <w:tab w:val="left" w:pos="720"/>
          <w:tab w:val="left" w:pos="900"/>
        </w:tabs>
        <w:spacing w:line="380" w:lineRule="exact"/>
        <w:ind w:firstLine="480" w:firstLineChars="200"/>
        <w:rPr>
          <w:sz w:val="24"/>
        </w:rPr>
      </w:pPr>
      <w:r>
        <w:rPr>
          <w:sz w:val="24"/>
        </w:rPr>
        <w:t>b）监督审核、再认证审核或特殊审核的审核发现表明：</w:t>
      </w:r>
    </w:p>
    <w:p>
      <w:pPr>
        <w:spacing w:line="380" w:lineRule="exact"/>
        <w:ind w:left="1275" w:leftChars="406" w:hanging="422" w:hangingChars="176"/>
        <w:rPr>
          <w:sz w:val="24"/>
        </w:rPr>
      </w:pPr>
      <w:r>
        <w:rPr>
          <w:sz w:val="24"/>
        </w:rPr>
        <w:fldChar w:fldCharType="begin"/>
      </w:r>
      <w:r>
        <w:rPr>
          <w:sz w:val="24"/>
        </w:rPr>
        <w:instrText xml:space="preserve"> = 1 \* GB2 </w:instrText>
      </w:r>
      <w:r>
        <w:rPr>
          <w:sz w:val="24"/>
        </w:rPr>
        <w:fldChar w:fldCharType="separate"/>
      </w:r>
      <w:r>
        <w:rPr>
          <w:rFonts w:hint="eastAsia" w:ascii="宋体" w:hAnsi="宋体" w:cs="宋体"/>
          <w:sz w:val="24"/>
        </w:rPr>
        <w:t>⑴</w:t>
      </w:r>
      <w:r>
        <w:rPr>
          <w:sz w:val="24"/>
        </w:rPr>
        <w:fldChar w:fldCharType="end"/>
      </w:r>
      <w:r>
        <w:rPr>
          <w:sz w:val="24"/>
        </w:rPr>
        <w:t xml:space="preserve"> 营业执照、生产/经营许可证、资质或管理体系覆盖范围的变更导致认证范围缩小；</w:t>
      </w:r>
    </w:p>
    <w:p>
      <w:pPr>
        <w:spacing w:line="380" w:lineRule="exact"/>
        <w:ind w:left="1275" w:leftChars="406" w:hanging="422" w:hangingChars="176"/>
        <w:rPr>
          <w:sz w:val="24"/>
        </w:rPr>
      </w:pPr>
      <w:r>
        <w:rPr>
          <w:sz w:val="24"/>
        </w:rPr>
        <w:fldChar w:fldCharType="begin"/>
      </w:r>
      <w:r>
        <w:rPr>
          <w:sz w:val="24"/>
        </w:rPr>
        <w:instrText xml:space="preserve"> = 2 \* GB2 </w:instrText>
      </w:r>
      <w:r>
        <w:rPr>
          <w:sz w:val="24"/>
        </w:rPr>
        <w:fldChar w:fldCharType="separate"/>
      </w:r>
      <w:r>
        <w:rPr>
          <w:rFonts w:hint="eastAsia" w:ascii="宋体" w:hAnsi="宋体" w:cs="宋体"/>
          <w:sz w:val="24"/>
        </w:rPr>
        <w:t>⑵</w:t>
      </w:r>
      <w:r>
        <w:rPr>
          <w:sz w:val="24"/>
        </w:rPr>
        <w:fldChar w:fldCharType="end"/>
      </w:r>
      <w:r>
        <w:rPr>
          <w:sz w:val="24"/>
        </w:rPr>
        <w:t xml:space="preserve"> 获证客户的活动和运作的变更，或适用的法律法规、产品标准/规范的变更，或其它原因造成认证范围内部分产品、活动和地域场所持续地或严重地不能满足认证要求；</w:t>
      </w:r>
    </w:p>
    <w:p>
      <w:pPr>
        <w:spacing w:line="380" w:lineRule="exact"/>
        <w:ind w:left="1275" w:leftChars="406" w:hanging="422" w:hangingChars="176"/>
        <w:rPr>
          <w:sz w:val="24"/>
        </w:rPr>
      </w:pPr>
      <w:r>
        <w:rPr>
          <w:sz w:val="24"/>
        </w:rPr>
        <w:fldChar w:fldCharType="begin"/>
      </w:r>
      <w:r>
        <w:rPr>
          <w:sz w:val="24"/>
        </w:rPr>
        <w:instrText xml:space="preserve"> = 3 \* GB2 </w:instrText>
      </w:r>
      <w:r>
        <w:rPr>
          <w:sz w:val="24"/>
        </w:rPr>
        <w:fldChar w:fldCharType="separate"/>
      </w:r>
      <w:r>
        <w:rPr>
          <w:rFonts w:hint="eastAsia" w:ascii="宋体" w:hAnsi="宋体" w:cs="宋体"/>
          <w:sz w:val="24"/>
        </w:rPr>
        <w:t>⑶</w:t>
      </w:r>
      <w:r>
        <w:rPr>
          <w:sz w:val="24"/>
        </w:rPr>
        <w:fldChar w:fldCharType="end"/>
      </w:r>
      <w:r>
        <w:rPr>
          <w:sz w:val="24"/>
        </w:rPr>
        <w:t xml:space="preserve"> 认证范围内的产品、活动和/或地域场所减少；</w:t>
      </w:r>
    </w:p>
    <w:p>
      <w:pPr>
        <w:spacing w:line="380" w:lineRule="exact"/>
        <w:ind w:left="1275" w:leftChars="406" w:hanging="422" w:hangingChars="176"/>
        <w:rPr>
          <w:sz w:val="24"/>
        </w:rPr>
      </w:pPr>
      <w:r>
        <w:rPr>
          <w:sz w:val="24"/>
        </w:rPr>
        <w:fldChar w:fldCharType="begin"/>
      </w:r>
      <w:r>
        <w:rPr>
          <w:sz w:val="24"/>
        </w:rPr>
        <w:instrText xml:space="preserve"> = 4 \* GB2 </w:instrText>
      </w:r>
      <w:r>
        <w:rPr>
          <w:sz w:val="24"/>
        </w:rPr>
        <w:fldChar w:fldCharType="separate"/>
      </w:r>
      <w:r>
        <w:rPr>
          <w:rFonts w:hint="eastAsia" w:ascii="宋体" w:hAnsi="宋体" w:cs="宋体"/>
          <w:sz w:val="24"/>
        </w:rPr>
        <w:t>⑷</w:t>
      </w:r>
      <w:r>
        <w:rPr>
          <w:sz w:val="24"/>
        </w:rPr>
        <w:fldChar w:fldCharType="end"/>
      </w:r>
      <w:r>
        <w:rPr>
          <w:sz w:val="24"/>
        </w:rPr>
        <w:t xml:space="preserve"> 未对顾客和/或相关方投诉所涉及的部分认证范围的不符合采取有效纠正措施；</w:t>
      </w:r>
    </w:p>
    <w:p>
      <w:pPr>
        <w:spacing w:line="380" w:lineRule="exact"/>
        <w:ind w:left="1275" w:leftChars="406" w:hanging="422" w:hangingChars="176"/>
        <w:rPr>
          <w:sz w:val="24"/>
        </w:rPr>
      </w:pPr>
      <w:r>
        <w:rPr>
          <w:sz w:val="24"/>
        </w:rPr>
        <w:fldChar w:fldCharType="begin"/>
      </w:r>
      <w:r>
        <w:rPr>
          <w:sz w:val="24"/>
        </w:rPr>
        <w:instrText xml:space="preserve"> = 5 \* GB2 </w:instrText>
      </w:r>
      <w:r>
        <w:rPr>
          <w:sz w:val="24"/>
        </w:rPr>
        <w:fldChar w:fldCharType="separate"/>
      </w:r>
      <w:r>
        <w:rPr>
          <w:rFonts w:hint="eastAsia" w:ascii="宋体" w:hAnsi="宋体" w:cs="宋体"/>
          <w:sz w:val="24"/>
        </w:rPr>
        <w:t>⑸</w:t>
      </w:r>
      <w:r>
        <w:rPr>
          <w:sz w:val="24"/>
        </w:rPr>
        <w:fldChar w:fldCharType="end"/>
      </w:r>
      <w:r>
        <w:rPr>
          <w:sz w:val="24"/>
        </w:rPr>
        <w:t xml:space="preserve"> 部分产品、环境和/或安全经国家主管部门监督检查/监测不合格且未进行纠正；</w:t>
      </w:r>
    </w:p>
    <w:p>
      <w:pPr>
        <w:tabs>
          <w:tab w:val="left" w:pos="180"/>
          <w:tab w:val="left" w:pos="360"/>
          <w:tab w:val="left" w:pos="720"/>
          <w:tab w:val="left" w:pos="900"/>
        </w:tabs>
        <w:spacing w:line="380" w:lineRule="exact"/>
        <w:ind w:firstLine="480" w:firstLineChars="200"/>
        <w:rPr>
          <w:sz w:val="24"/>
        </w:rPr>
      </w:pPr>
      <w:r>
        <w:rPr>
          <w:sz w:val="24"/>
        </w:rPr>
        <w:t>c）经技术部审查和评价，确认应缩小认证范围。</w:t>
      </w:r>
    </w:p>
    <w:p>
      <w:pPr>
        <w:tabs>
          <w:tab w:val="left" w:pos="180"/>
          <w:tab w:val="left" w:pos="360"/>
          <w:tab w:val="left" w:pos="720"/>
          <w:tab w:val="left" w:pos="900"/>
        </w:tabs>
        <w:spacing w:line="380" w:lineRule="exact"/>
        <w:ind w:firstLine="480" w:firstLineChars="200"/>
        <w:rPr>
          <w:sz w:val="24"/>
        </w:rPr>
      </w:pPr>
    </w:p>
    <w:p>
      <w:pPr>
        <w:tabs>
          <w:tab w:val="left" w:pos="180"/>
          <w:tab w:val="left" w:pos="360"/>
          <w:tab w:val="left" w:pos="720"/>
          <w:tab w:val="left" w:pos="900"/>
        </w:tabs>
        <w:spacing w:line="380" w:lineRule="exact"/>
        <w:rPr>
          <w:b/>
          <w:bCs/>
          <w:sz w:val="24"/>
        </w:rPr>
      </w:pPr>
      <w:r>
        <w:rPr>
          <w:b/>
          <w:sz w:val="24"/>
        </w:rPr>
        <w:t>9.6 暂停认证</w:t>
      </w:r>
    </w:p>
    <w:p>
      <w:pPr>
        <w:tabs>
          <w:tab w:val="left" w:pos="180"/>
          <w:tab w:val="left" w:pos="360"/>
          <w:tab w:val="left" w:pos="720"/>
          <w:tab w:val="left" w:pos="900"/>
        </w:tabs>
        <w:spacing w:line="380" w:lineRule="exact"/>
        <w:rPr>
          <w:bCs/>
          <w:sz w:val="24"/>
        </w:rPr>
      </w:pPr>
      <w:r>
        <w:rPr>
          <w:sz w:val="24"/>
        </w:rPr>
        <w:t>9.</w:t>
      </w:r>
      <w:r>
        <w:rPr>
          <w:bCs/>
          <w:sz w:val="24"/>
        </w:rPr>
        <w:t>6.1 获证客户发生下列情况之一时，予以暂停认证（含部分认证范围暂停）：</w:t>
      </w:r>
    </w:p>
    <w:p>
      <w:pPr>
        <w:tabs>
          <w:tab w:val="left" w:pos="180"/>
          <w:tab w:val="left" w:pos="360"/>
          <w:tab w:val="left" w:pos="720"/>
          <w:tab w:val="left" w:pos="900"/>
        </w:tabs>
        <w:spacing w:line="380" w:lineRule="exact"/>
        <w:ind w:firstLine="480" w:firstLineChars="200"/>
        <w:rPr>
          <w:sz w:val="24"/>
        </w:rPr>
      </w:pPr>
      <w:r>
        <w:rPr>
          <w:sz w:val="24"/>
        </w:rPr>
        <w:t>a）正式提出暂停认证书面申请；</w:t>
      </w:r>
    </w:p>
    <w:p>
      <w:pPr>
        <w:tabs>
          <w:tab w:val="left" w:pos="180"/>
          <w:tab w:val="left" w:pos="360"/>
          <w:tab w:val="left" w:pos="720"/>
          <w:tab w:val="left" w:pos="900"/>
        </w:tabs>
        <w:spacing w:line="380" w:lineRule="exact"/>
        <w:ind w:firstLine="480" w:firstLineChars="200"/>
        <w:rPr>
          <w:sz w:val="24"/>
        </w:rPr>
      </w:pPr>
      <w:r>
        <w:rPr>
          <w:sz w:val="24"/>
        </w:rPr>
        <w:t>b）不按规定的频次和期限接受监督审核或再认证审核；</w:t>
      </w:r>
    </w:p>
    <w:p>
      <w:pPr>
        <w:tabs>
          <w:tab w:val="left" w:pos="180"/>
          <w:tab w:val="left" w:pos="360"/>
          <w:tab w:val="left" w:pos="720"/>
          <w:tab w:val="left" w:pos="900"/>
        </w:tabs>
        <w:spacing w:line="380" w:lineRule="exact"/>
        <w:ind w:firstLine="480" w:firstLineChars="200"/>
        <w:rPr>
          <w:sz w:val="24"/>
        </w:rPr>
      </w:pPr>
      <w:r>
        <w:rPr>
          <w:sz w:val="24"/>
        </w:rPr>
        <w:t>c）申请监督审核延期不被中盛批准或不接受监督审核或再认证审核；</w:t>
      </w:r>
    </w:p>
    <w:p>
      <w:pPr>
        <w:tabs>
          <w:tab w:val="left" w:pos="180"/>
          <w:tab w:val="left" w:pos="360"/>
          <w:tab w:val="left" w:pos="720"/>
          <w:tab w:val="left" w:pos="900"/>
        </w:tabs>
        <w:spacing w:line="380" w:lineRule="exact"/>
        <w:ind w:firstLine="480" w:firstLineChars="200"/>
        <w:rPr>
          <w:sz w:val="24"/>
        </w:rPr>
      </w:pPr>
      <w:r>
        <w:rPr>
          <w:sz w:val="24"/>
        </w:rPr>
        <w:t>d）不接受国家认证认可主管部门的监督检查或中盛必要的特殊审核；</w:t>
      </w:r>
    </w:p>
    <w:p>
      <w:pPr>
        <w:tabs>
          <w:tab w:val="left" w:pos="180"/>
          <w:tab w:val="left" w:pos="360"/>
          <w:tab w:val="left" w:pos="720"/>
          <w:tab w:val="left" w:pos="900"/>
        </w:tabs>
        <w:spacing w:line="380" w:lineRule="exact"/>
        <w:ind w:firstLine="480" w:firstLineChars="200"/>
        <w:rPr>
          <w:sz w:val="24"/>
        </w:rPr>
      </w:pPr>
      <w:r>
        <w:rPr>
          <w:sz w:val="24"/>
        </w:rPr>
        <w:t>e）生产/经营许可或资质被国家主管部门暂停；</w:t>
      </w:r>
    </w:p>
    <w:p>
      <w:pPr>
        <w:tabs>
          <w:tab w:val="left" w:pos="180"/>
          <w:tab w:val="left" w:pos="360"/>
          <w:tab w:val="left" w:pos="720"/>
          <w:tab w:val="left" w:pos="900"/>
        </w:tabs>
        <w:spacing w:line="380" w:lineRule="exact"/>
        <w:ind w:firstLine="480" w:firstLineChars="200"/>
        <w:rPr>
          <w:sz w:val="24"/>
        </w:rPr>
      </w:pPr>
      <w:r>
        <w:rPr>
          <w:sz w:val="24"/>
        </w:rPr>
        <w:t>f）监督审核的审核发现表明其管理体系或认证范围的某些部分持续地或严重地不满足认证要求，包括（但不限于）：</w:t>
      </w:r>
    </w:p>
    <w:p>
      <w:pPr>
        <w:tabs>
          <w:tab w:val="left" w:pos="180"/>
          <w:tab w:val="left" w:pos="360"/>
          <w:tab w:val="left" w:pos="720"/>
          <w:tab w:val="left" w:pos="900"/>
        </w:tabs>
        <w:spacing w:line="380" w:lineRule="exact"/>
        <w:ind w:firstLine="960" w:firstLineChars="400"/>
        <w:rPr>
          <w:sz w:val="24"/>
        </w:rPr>
      </w:pPr>
      <w:r>
        <w:rPr>
          <w:sz w:val="24"/>
        </w:rPr>
        <w:fldChar w:fldCharType="begin"/>
      </w:r>
      <w:r>
        <w:rPr>
          <w:sz w:val="24"/>
        </w:rPr>
        <w:instrText xml:space="preserve"> = 1 \* GB2 </w:instrText>
      </w:r>
      <w:r>
        <w:rPr>
          <w:sz w:val="24"/>
        </w:rPr>
        <w:fldChar w:fldCharType="separate"/>
      </w:r>
      <w:r>
        <w:rPr>
          <w:rFonts w:hint="eastAsia" w:ascii="宋体" w:hAnsi="宋体" w:cs="宋体"/>
          <w:sz w:val="24"/>
        </w:rPr>
        <w:t>⑴</w:t>
      </w:r>
      <w:r>
        <w:rPr>
          <w:sz w:val="24"/>
        </w:rPr>
        <w:fldChar w:fldCharType="end"/>
      </w:r>
      <w:r>
        <w:rPr>
          <w:sz w:val="24"/>
        </w:rPr>
        <w:t>不符合项纠正措施经验证未在规定期限内完成或无效；</w:t>
      </w:r>
    </w:p>
    <w:p>
      <w:pPr>
        <w:tabs>
          <w:tab w:val="left" w:pos="180"/>
          <w:tab w:val="left" w:pos="360"/>
          <w:tab w:val="left" w:pos="720"/>
          <w:tab w:val="left" w:pos="900"/>
        </w:tabs>
        <w:spacing w:line="380" w:lineRule="exact"/>
        <w:ind w:firstLine="960" w:firstLineChars="400"/>
        <w:rPr>
          <w:sz w:val="24"/>
        </w:rPr>
      </w:pPr>
      <w:r>
        <w:rPr>
          <w:sz w:val="24"/>
        </w:rPr>
        <w:fldChar w:fldCharType="begin"/>
      </w:r>
      <w:r>
        <w:rPr>
          <w:sz w:val="24"/>
        </w:rPr>
        <w:instrText xml:space="preserve"> = 2 \* GB2 </w:instrText>
      </w:r>
      <w:r>
        <w:rPr>
          <w:sz w:val="24"/>
        </w:rPr>
        <w:fldChar w:fldCharType="separate"/>
      </w:r>
      <w:r>
        <w:rPr>
          <w:rFonts w:hint="eastAsia" w:ascii="宋体" w:hAnsi="宋体" w:cs="宋体"/>
          <w:sz w:val="24"/>
        </w:rPr>
        <w:t>⑵</w:t>
      </w:r>
      <w:r>
        <w:rPr>
          <w:sz w:val="24"/>
        </w:rPr>
        <w:fldChar w:fldCharType="end"/>
      </w:r>
      <w:r>
        <w:rPr>
          <w:sz w:val="24"/>
        </w:rPr>
        <w:t>属于认证标准同一条款要求的不符合连续发生。</w:t>
      </w:r>
    </w:p>
    <w:p>
      <w:pPr>
        <w:tabs>
          <w:tab w:val="left" w:pos="180"/>
          <w:tab w:val="left" w:pos="360"/>
          <w:tab w:val="left" w:pos="720"/>
          <w:tab w:val="left" w:pos="900"/>
        </w:tabs>
        <w:spacing w:line="380" w:lineRule="exact"/>
        <w:ind w:firstLine="480" w:firstLineChars="200"/>
        <w:rPr>
          <w:sz w:val="24"/>
        </w:rPr>
      </w:pPr>
      <w:r>
        <w:rPr>
          <w:sz w:val="24"/>
        </w:rPr>
        <w:t>g）发生严重影响其管理体系持续满足认证标准要求的变更而未报告中盛；</w:t>
      </w:r>
    </w:p>
    <w:p>
      <w:pPr>
        <w:tabs>
          <w:tab w:val="left" w:pos="180"/>
          <w:tab w:val="left" w:pos="360"/>
          <w:tab w:val="left" w:pos="720"/>
          <w:tab w:val="left" w:pos="900"/>
        </w:tabs>
        <w:spacing w:line="380" w:lineRule="exact"/>
        <w:ind w:firstLine="480" w:firstLineChars="200"/>
        <w:rPr>
          <w:sz w:val="24"/>
        </w:rPr>
      </w:pPr>
      <w:r>
        <w:rPr>
          <w:sz w:val="24"/>
        </w:rPr>
        <w:t>h）产品、环境和/或安全经国家主管部门监督检查/监测不合格且在媒体公布；</w:t>
      </w:r>
    </w:p>
    <w:p>
      <w:pPr>
        <w:tabs>
          <w:tab w:val="left" w:pos="180"/>
          <w:tab w:val="left" w:pos="360"/>
          <w:tab w:val="left" w:pos="720"/>
          <w:tab w:val="left" w:pos="900"/>
        </w:tabs>
        <w:spacing w:line="380" w:lineRule="exact"/>
        <w:ind w:firstLine="480" w:firstLineChars="200"/>
        <w:rPr>
          <w:sz w:val="24"/>
        </w:rPr>
      </w:pPr>
      <w:r>
        <w:rPr>
          <w:sz w:val="24"/>
        </w:rPr>
        <w:t>i）投诉调查表明其顾客或相关方投诉事项属实且不符合认证的要求，但未采取纠正措施；</w:t>
      </w:r>
    </w:p>
    <w:p>
      <w:pPr>
        <w:tabs>
          <w:tab w:val="left" w:pos="180"/>
          <w:tab w:val="left" w:pos="360"/>
          <w:tab w:val="left" w:pos="720"/>
          <w:tab w:val="left" w:pos="900"/>
        </w:tabs>
        <w:spacing w:line="380" w:lineRule="exact"/>
        <w:ind w:firstLine="480" w:firstLineChars="200"/>
        <w:rPr>
          <w:sz w:val="24"/>
        </w:rPr>
      </w:pPr>
      <w:r>
        <w:rPr>
          <w:sz w:val="24"/>
        </w:rPr>
        <w:t>j）使用或滥用认证标志、认证证书或审核报告，误导性宣传认证状态，被中盛警告后未纠正或尚未造成严重后果；</w:t>
      </w:r>
    </w:p>
    <w:p>
      <w:pPr>
        <w:tabs>
          <w:tab w:val="left" w:pos="180"/>
          <w:tab w:val="left" w:pos="360"/>
          <w:tab w:val="left" w:pos="720"/>
          <w:tab w:val="left" w:pos="900"/>
        </w:tabs>
        <w:spacing w:line="380" w:lineRule="exact"/>
        <w:ind w:firstLine="480" w:firstLineChars="200"/>
        <w:rPr>
          <w:sz w:val="24"/>
        </w:rPr>
      </w:pPr>
      <w:r>
        <w:rPr>
          <w:sz w:val="24"/>
        </w:rPr>
        <w:t>k）其它违背认证合同行为，如拖延缴纳认证费。</w:t>
      </w:r>
    </w:p>
    <w:p>
      <w:pPr>
        <w:tabs>
          <w:tab w:val="left" w:pos="180"/>
          <w:tab w:val="left" w:pos="360"/>
          <w:tab w:val="left" w:pos="540"/>
          <w:tab w:val="left" w:pos="720"/>
          <w:tab w:val="left" w:pos="900"/>
        </w:tabs>
        <w:spacing w:line="380" w:lineRule="exact"/>
        <w:ind w:left="960" w:hanging="960" w:hangingChars="400"/>
        <w:rPr>
          <w:bCs/>
          <w:sz w:val="24"/>
        </w:rPr>
      </w:pPr>
      <w:r>
        <w:rPr>
          <w:sz w:val="24"/>
        </w:rPr>
        <w:t>9.</w:t>
      </w:r>
      <w:r>
        <w:rPr>
          <w:bCs/>
          <w:sz w:val="24"/>
        </w:rPr>
        <w:t>6.2认证暂停的期限通常不超过3个月，最长为6个月。</w:t>
      </w:r>
    </w:p>
    <w:p>
      <w:pPr>
        <w:tabs>
          <w:tab w:val="left" w:pos="180"/>
          <w:tab w:val="left" w:pos="360"/>
          <w:tab w:val="left" w:pos="720"/>
          <w:tab w:val="left" w:pos="900"/>
        </w:tabs>
        <w:spacing w:line="380" w:lineRule="exact"/>
        <w:ind w:firstLine="480" w:firstLineChars="200"/>
        <w:rPr>
          <w:sz w:val="24"/>
        </w:rPr>
      </w:pPr>
      <w:r>
        <w:rPr>
          <w:sz w:val="24"/>
        </w:rPr>
        <w:t>客户在暂停认证期间内：</w:t>
      </w:r>
    </w:p>
    <w:p>
      <w:pPr>
        <w:tabs>
          <w:tab w:val="left" w:pos="180"/>
          <w:tab w:val="left" w:pos="360"/>
          <w:tab w:val="left" w:pos="720"/>
          <w:tab w:val="left" w:pos="900"/>
        </w:tabs>
        <w:spacing w:line="380" w:lineRule="exact"/>
        <w:ind w:firstLine="480" w:firstLineChars="200"/>
        <w:rPr>
          <w:sz w:val="24"/>
        </w:rPr>
      </w:pPr>
      <w:r>
        <w:rPr>
          <w:sz w:val="24"/>
        </w:rPr>
        <w:t>a）管理体系认证无效，必须停止使用认证标志、认证证书和宣传认证状态；</w:t>
      </w:r>
    </w:p>
    <w:p>
      <w:pPr>
        <w:tabs>
          <w:tab w:val="left" w:pos="180"/>
          <w:tab w:val="left" w:pos="360"/>
          <w:tab w:val="left" w:pos="720"/>
          <w:tab w:val="left" w:pos="900"/>
        </w:tabs>
        <w:spacing w:line="380" w:lineRule="exact"/>
        <w:ind w:firstLine="480" w:firstLineChars="200"/>
        <w:rPr>
          <w:sz w:val="24"/>
        </w:rPr>
      </w:pPr>
      <w:r>
        <w:rPr>
          <w:sz w:val="24"/>
        </w:rPr>
        <w:t xml:space="preserve">b）解决造成暂停问题； </w:t>
      </w:r>
    </w:p>
    <w:p>
      <w:pPr>
        <w:tabs>
          <w:tab w:val="left" w:pos="180"/>
          <w:tab w:val="left" w:pos="360"/>
          <w:tab w:val="left" w:pos="720"/>
          <w:tab w:val="left" w:pos="900"/>
        </w:tabs>
        <w:spacing w:line="380" w:lineRule="exact"/>
        <w:ind w:firstLine="480" w:firstLineChars="200"/>
        <w:rPr>
          <w:sz w:val="24"/>
        </w:rPr>
      </w:pPr>
      <w:r>
        <w:rPr>
          <w:sz w:val="24"/>
        </w:rPr>
        <w:t>c）准备接受必要的追踪审核。</w:t>
      </w:r>
    </w:p>
    <w:p>
      <w:pPr>
        <w:tabs>
          <w:tab w:val="left" w:pos="180"/>
          <w:tab w:val="left" w:pos="360"/>
          <w:tab w:val="left" w:pos="540"/>
          <w:tab w:val="left" w:pos="720"/>
          <w:tab w:val="left" w:pos="900"/>
        </w:tabs>
        <w:spacing w:line="380" w:lineRule="exact"/>
        <w:ind w:firstLine="960" w:firstLineChars="400"/>
        <w:rPr>
          <w:bCs/>
          <w:sz w:val="24"/>
        </w:rPr>
      </w:pPr>
    </w:p>
    <w:p>
      <w:pPr>
        <w:tabs>
          <w:tab w:val="left" w:pos="180"/>
          <w:tab w:val="left" w:pos="360"/>
          <w:tab w:val="left" w:pos="540"/>
          <w:tab w:val="left" w:pos="720"/>
          <w:tab w:val="left" w:pos="900"/>
        </w:tabs>
        <w:spacing w:line="380" w:lineRule="exact"/>
        <w:ind w:left="964" w:hanging="964" w:hangingChars="400"/>
        <w:rPr>
          <w:b/>
          <w:bCs/>
          <w:sz w:val="24"/>
        </w:rPr>
      </w:pPr>
      <w:r>
        <w:rPr>
          <w:b/>
          <w:sz w:val="24"/>
        </w:rPr>
        <w:t>9.7 撤销认证</w:t>
      </w:r>
    </w:p>
    <w:p>
      <w:pPr>
        <w:tabs>
          <w:tab w:val="left" w:pos="180"/>
          <w:tab w:val="left" w:pos="360"/>
          <w:tab w:val="left" w:pos="540"/>
          <w:tab w:val="left" w:pos="720"/>
          <w:tab w:val="left" w:pos="900"/>
        </w:tabs>
        <w:spacing w:line="380" w:lineRule="exact"/>
        <w:ind w:left="960" w:hanging="960" w:hangingChars="400"/>
        <w:rPr>
          <w:bCs/>
          <w:sz w:val="24"/>
        </w:rPr>
      </w:pPr>
      <w:r>
        <w:rPr>
          <w:sz w:val="24"/>
        </w:rPr>
        <w:t>9.</w:t>
      </w:r>
      <w:r>
        <w:rPr>
          <w:bCs/>
          <w:sz w:val="24"/>
        </w:rPr>
        <w:t>7.1 获证客户发生下列情况之一时，予以撤销认证：</w:t>
      </w:r>
    </w:p>
    <w:p>
      <w:pPr>
        <w:spacing w:line="380" w:lineRule="exact"/>
        <w:ind w:left="1134" w:leftChars="338" w:hanging="424" w:hangingChars="177"/>
        <w:rPr>
          <w:bCs/>
          <w:sz w:val="24"/>
        </w:rPr>
      </w:pPr>
      <w:r>
        <w:rPr>
          <w:bCs/>
          <w:sz w:val="24"/>
        </w:rPr>
        <w:t>a）因认证要求变更或其它原因，正式提出停止认证的书面申请；</w:t>
      </w:r>
    </w:p>
    <w:p>
      <w:pPr>
        <w:spacing w:line="380" w:lineRule="exact"/>
        <w:ind w:left="1134" w:leftChars="338" w:hanging="424" w:hangingChars="177"/>
        <w:rPr>
          <w:sz w:val="24"/>
        </w:rPr>
      </w:pPr>
      <w:r>
        <w:rPr>
          <w:sz w:val="24"/>
        </w:rPr>
        <w:t>b）法律地位失效，如营业执照、生产/经营许可证或资质被注销/撤销；</w:t>
      </w:r>
    </w:p>
    <w:p>
      <w:pPr>
        <w:spacing w:line="380" w:lineRule="exact"/>
        <w:ind w:left="1134" w:leftChars="338" w:hanging="424" w:hangingChars="177"/>
        <w:rPr>
          <w:sz w:val="24"/>
        </w:rPr>
      </w:pPr>
      <w:r>
        <w:rPr>
          <w:sz w:val="24"/>
        </w:rPr>
        <w:t>c）组织名称、地址或法定代表人变更而未报告中盛或申请换发认证证书；</w:t>
      </w:r>
    </w:p>
    <w:p>
      <w:pPr>
        <w:spacing w:line="380" w:lineRule="exact"/>
        <w:ind w:left="1134" w:leftChars="338" w:hanging="424" w:hangingChars="177"/>
        <w:rPr>
          <w:sz w:val="24"/>
        </w:rPr>
      </w:pPr>
      <w:r>
        <w:rPr>
          <w:sz w:val="24"/>
        </w:rPr>
        <w:t>d）暂停认证期内：</w:t>
      </w:r>
    </w:p>
    <w:p>
      <w:pPr>
        <w:spacing w:line="380" w:lineRule="exact"/>
        <w:ind w:left="1133" w:leftChars="539" w:hanging="1"/>
        <w:rPr>
          <w:sz w:val="24"/>
        </w:rPr>
      </w:pPr>
      <w:r>
        <w:rPr>
          <w:sz w:val="24"/>
        </w:rPr>
        <w:fldChar w:fldCharType="begin"/>
      </w:r>
      <w:r>
        <w:rPr>
          <w:sz w:val="24"/>
        </w:rPr>
        <w:instrText xml:space="preserve"> = 1 \* GB2 </w:instrText>
      </w:r>
      <w:r>
        <w:rPr>
          <w:sz w:val="24"/>
        </w:rPr>
        <w:fldChar w:fldCharType="separate"/>
      </w:r>
      <w:r>
        <w:rPr>
          <w:rFonts w:hint="eastAsia" w:ascii="宋体" w:hAnsi="宋体" w:cs="宋体"/>
          <w:sz w:val="24"/>
        </w:rPr>
        <w:t>⑴</w:t>
      </w:r>
      <w:r>
        <w:rPr>
          <w:sz w:val="24"/>
        </w:rPr>
        <w:fldChar w:fldCharType="end"/>
      </w:r>
      <w:r>
        <w:rPr>
          <w:sz w:val="24"/>
        </w:rPr>
        <w:t>未对造成暂停问题采取解决措施或解决措施经验证无效；</w:t>
      </w:r>
    </w:p>
    <w:p>
      <w:pPr>
        <w:spacing w:line="380" w:lineRule="exact"/>
        <w:ind w:left="1133" w:leftChars="539" w:hanging="1"/>
        <w:rPr>
          <w:sz w:val="24"/>
        </w:rPr>
      </w:pPr>
      <w:r>
        <w:rPr>
          <w:sz w:val="24"/>
        </w:rPr>
        <w:fldChar w:fldCharType="begin"/>
      </w:r>
      <w:r>
        <w:rPr>
          <w:sz w:val="24"/>
        </w:rPr>
        <w:instrText xml:space="preserve"> = 2 \* GB2 </w:instrText>
      </w:r>
      <w:r>
        <w:rPr>
          <w:sz w:val="24"/>
        </w:rPr>
        <w:fldChar w:fldCharType="separate"/>
      </w:r>
      <w:r>
        <w:rPr>
          <w:rFonts w:hint="eastAsia" w:ascii="宋体" w:hAnsi="宋体" w:cs="宋体"/>
          <w:sz w:val="24"/>
        </w:rPr>
        <w:t>⑵</w:t>
      </w:r>
      <w:r>
        <w:rPr>
          <w:sz w:val="24"/>
        </w:rPr>
        <w:fldChar w:fldCharType="end"/>
      </w:r>
      <w:r>
        <w:rPr>
          <w:sz w:val="24"/>
        </w:rPr>
        <w:t>未在暂停范围内停止使用认证标志、认证证书或认证状态宣传；</w:t>
      </w:r>
    </w:p>
    <w:p>
      <w:pPr>
        <w:spacing w:line="380" w:lineRule="exact"/>
        <w:ind w:left="1133" w:leftChars="539" w:hanging="1"/>
        <w:rPr>
          <w:sz w:val="24"/>
        </w:rPr>
      </w:pPr>
      <w:r>
        <w:rPr>
          <w:sz w:val="24"/>
        </w:rPr>
        <w:fldChar w:fldCharType="begin"/>
      </w:r>
      <w:r>
        <w:rPr>
          <w:sz w:val="24"/>
        </w:rPr>
        <w:instrText xml:space="preserve"> = 3 \* GB2 </w:instrText>
      </w:r>
      <w:r>
        <w:rPr>
          <w:sz w:val="24"/>
        </w:rPr>
        <w:fldChar w:fldCharType="separate"/>
      </w:r>
      <w:r>
        <w:rPr>
          <w:rFonts w:hint="eastAsia" w:ascii="宋体" w:hAnsi="宋体" w:cs="宋体"/>
          <w:sz w:val="24"/>
        </w:rPr>
        <w:t>⑶</w:t>
      </w:r>
      <w:r>
        <w:rPr>
          <w:sz w:val="24"/>
        </w:rPr>
        <w:fldChar w:fldCharType="end"/>
      </w:r>
      <w:r>
        <w:rPr>
          <w:sz w:val="24"/>
        </w:rPr>
        <w:t>不接受中盛必要的现场追踪审核。</w:t>
      </w:r>
    </w:p>
    <w:p>
      <w:pPr>
        <w:spacing w:line="380" w:lineRule="exact"/>
        <w:ind w:left="1134" w:leftChars="338" w:hanging="424" w:hangingChars="177"/>
        <w:rPr>
          <w:bCs/>
          <w:sz w:val="24"/>
        </w:rPr>
      </w:pPr>
      <w:r>
        <w:rPr>
          <w:bCs/>
          <w:sz w:val="24"/>
        </w:rPr>
        <w:t>e）被缩小认证范围后，未在被缩小的认证范围内停止使用认证标志、认证证书或认证状态宣传；</w:t>
      </w:r>
    </w:p>
    <w:p>
      <w:pPr>
        <w:spacing w:line="380" w:lineRule="exact"/>
        <w:ind w:left="1134" w:leftChars="338" w:hanging="424" w:hangingChars="177"/>
        <w:rPr>
          <w:bCs/>
          <w:sz w:val="24"/>
        </w:rPr>
      </w:pPr>
      <w:r>
        <w:rPr>
          <w:bCs/>
          <w:sz w:val="24"/>
        </w:rPr>
        <w:t>f）发生产品、环境或安全事故，造成严重影响；</w:t>
      </w:r>
    </w:p>
    <w:p>
      <w:pPr>
        <w:spacing w:line="380" w:lineRule="exact"/>
        <w:ind w:left="1134" w:leftChars="338" w:hanging="424" w:hangingChars="177"/>
        <w:rPr>
          <w:bCs/>
          <w:sz w:val="24"/>
        </w:rPr>
      </w:pPr>
      <w:r>
        <w:rPr>
          <w:bCs/>
          <w:sz w:val="24"/>
        </w:rPr>
        <w:t>g）提供信息严重失实，弄虚作假，造成严重影响；</w:t>
      </w:r>
    </w:p>
    <w:p>
      <w:pPr>
        <w:spacing w:line="380" w:lineRule="exact"/>
        <w:ind w:left="1134" w:leftChars="338" w:hanging="424" w:hangingChars="177"/>
        <w:rPr>
          <w:bCs/>
          <w:sz w:val="24"/>
        </w:rPr>
      </w:pPr>
      <w:r>
        <w:rPr>
          <w:bCs/>
          <w:sz w:val="24"/>
        </w:rPr>
        <w:t>h）违背认证合同或协议：</w:t>
      </w:r>
    </w:p>
    <w:p>
      <w:pPr>
        <w:spacing w:line="380" w:lineRule="exact"/>
        <w:ind w:left="1133" w:leftChars="539" w:hanging="1"/>
        <w:rPr>
          <w:sz w:val="24"/>
        </w:rPr>
      </w:pPr>
      <w:r>
        <w:rPr>
          <w:sz w:val="24"/>
        </w:rPr>
        <w:fldChar w:fldCharType="begin"/>
      </w:r>
      <w:r>
        <w:rPr>
          <w:sz w:val="24"/>
        </w:rPr>
        <w:instrText xml:space="preserve"> = 1 \* GB2 </w:instrText>
      </w:r>
      <w:r>
        <w:rPr>
          <w:sz w:val="24"/>
        </w:rPr>
        <w:fldChar w:fldCharType="separate"/>
      </w:r>
      <w:r>
        <w:rPr>
          <w:rFonts w:hint="eastAsia" w:ascii="宋体" w:hAnsi="宋体" w:cs="宋体"/>
          <w:sz w:val="24"/>
        </w:rPr>
        <w:t>⑴</w:t>
      </w:r>
      <w:r>
        <w:rPr>
          <w:sz w:val="24"/>
        </w:rPr>
        <w:fldChar w:fldCharType="end"/>
      </w:r>
      <w:r>
        <w:rPr>
          <w:sz w:val="24"/>
        </w:rPr>
        <w:t>误用或滥用认证标志、认证证书或审核报告，或误导性宣传认证状态，造成严重影响；</w:t>
      </w:r>
    </w:p>
    <w:p>
      <w:pPr>
        <w:spacing w:line="380" w:lineRule="exact"/>
        <w:ind w:left="1133" w:leftChars="539" w:hanging="1"/>
        <w:rPr>
          <w:sz w:val="24"/>
        </w:rPr>
      </w:pPr>
      <w:r>
        <w:rPr>
          <w:sz w:val="24"/>
        </w:rPr>
        <w:fldChar w:fldCharType="begin"/>
      </w:r>
      <w:r>
        <w:rPr>
          <w:sz w:val="24"/>
        </w:rPr>
        <w:instrText xml:space="preserve"> = 2 \* GB2 </w:instrText>
      </w:r>
      <w:r>
        <w:rPr>
          <w:sz w:val="24"/>
        </w:rPr>
        <w:fldChar w:fldCharType="separate"/>
      </w:r>
      <w:r>
        <w:rPr>
          <w:rFonts w:hint="eastAsia" w:ascii="宋体" w:hAnsi="宋体" w:cs="宋体"/>
          <w:sz w:val="24"/>
        </w:rPr>
        <w:t>⑵</w:t>
      </w:r>
      <w:r>
        <w:rPr>
          <w:sz w:val="24"/>
        </w:rPr>
        <w:fldChar w:fldCharType="end"/>
      </w:r>
      <w:r>
        <w:rPr>
          <w:sz w:val="24"/>
        </w:rPr>
        <w:t>涂改认证证书内容；</w:t>
      </w:r>
    </w:p>
    <w:p>
      <w:pPr>
        <w:spacing w:line="380" w:lineRule="exact"/>
        <w:ind w:left="1133" w:leftChars="539" w:hanging="1"/>
        <w:rPr>
          <w:sz w:val="24"/>
        </w:rPr>
      </w:pPr>
      <w:r>
        <w:rPr>
          <w:sz w:val="24"/>
        </w:rPr>
        <w:fldChar w:fldCharType="begin"/>
      </w:r>
      <w:r>
        <w:rPr>
          <w:sz w:val="24"/>
        </w:rPr>
        <w:instrText xml:space="preserve"> = 3 \* GB2 </w:instrText>
      </w:r>
      <w:r>
        <w:rPr>
          <w:sz w:val="24"/>
        </w:rPr>
        <w:fldChar w:fldCharType="separate"/>
      </w:r>
      <w:r>
        <w:rPr>
          <w:rFonts w:hint="eastAsia" w:ascii="宋体" w:hAnsi="宋体" w:cs="宋体"/>
          <w:sz w:val="24"/>
        </w:rPr>
        <w:t>⑶</w:t>
      </w:r>
      <w:r>
        <w:rPr>
          <w:sz w:val="24"/>
        </w:rPr>
        <w:fldChar w:fldCharType="end"/>
      </w:r>
      <w:r>
        <w:rPr>
          <w:sz w:val="24"/>
        </w:rPr>
        <w:t>借用他人使用认证证书或认证标志；</w:t>
      </w:r>
    </w:p>
    <w:p>
      <w:pPr>
        <w:spacing w:line="380" w:lineRule="exact"/>
        <w:ind w:left="1133" w:leftChars="539" w:hanging="1"/>
        <w:rPr>
          <w:sz w:val="24"/>
        </w:rPr>
      </w:pPr>
      <w:r>
        <w:rPr>
          <w:sz w:val="24"/>
        </w:rPr>
        <w:fldChar w:fldCharType="begin"/>
      </w:r>
      <w:r>
        <w:rPr>
          <w:sz w:val="24"/>
        </w:rPr>
        <w:instrText xml:space="preserve"> = 4 \* GB2 </w:instrText>
      </w:r>
      <w:r>
        <w:rPr>
          <w:sz w:val="24"/>
        </w:rPr>
        <w:fldChar w:fldCharType="separate"/>
      </w:r>
      <w:r>
        <w:rPr>
          <w:rFonts w:hint="eastAsia" w:ascii="宋体" w:hAnsi="宋体" w:cs="宋体"/>
          <w:sz w:val="24"/>
        </w:rPr>
        <w:t>⑷</w:t>
      </w:r>
      <w:r>
        <w:rPr>
          <w:sz w:val="24"/>
        </w:rPr>
        <w:fldChar w:fldCharType="end"/>
      </w:r>
      <w:r>
        <w:rPr>
          <w:sz w:val="24"/>
        </w:rPr>
        <w:t>拒绝缴纳认证费。</w:t>
      </w:r>
    </w:p>
    <w:p>
      <w:pPr>
        <w:spacing w:line="380" w:lineRule="exact"/>
        <w:ind w:left="1133" w:leftChars="539" w:hanging="1"/>
        <w:rPr>
          <w:sz w:val="24"/>
        </w:rPr>
      </w:pPr>
      <w:r>
        <w:rPr>
          <w:sz w:val="24"/>
        </w:rPr>
        <w:t>(5)无正当理由拒绝接受国家认监委/地方监管机构的稽查和国家认可委的确认审核的。</w:t>
      </w:r>
    </w:p>
    <w:p>
      <w:pPr>
        <w:spacing w:line="380" w:lineRule="exact"/>
        <w:ind w:left="1134" w:leftChars="338" w:hanging="424" w:hangingChars="177"/>
        <w:rPr>
          <w:bCs/>
          <w:sz w:val="24"/>
        </w:rPr>
      </w:pPr>
      <w:r>
        <w:rPr>
          <w:bCs/>
          <w:sz w:val="24"/>
        </w:rPr>
        <w:t>i）因使用认证标志、认证证书或声明认证状态，引起或对其它组织提起诉讼而未及时通告中盛；</w:t>
      </w:r>
    </w:p>
    <w:p>
      <w:pPr>
        <w:spacing w:line="380" w:lineRule="exact"/>
        <w:ind w:left="1134" w:leftChars="338" w:hanging="424" w:hangingChars="177"/>
        <w:rPr>
          <w:bCs/>
          <w:sz w:val="24"/>
        </w:rPr>
      </w:pPr>
      <w:r>
        <w:rPr>
          <w:bCs/>
          <w:sz w:val="24"/>
        </w:rPr>
        <w:t>j）未提出注销认证而转换至其它认证机构。</w:t>
      </w:r>
    </w:p>
    <w:p>
      <w:pPr>
        <w:spacing w:line="380" w:lineRule="exact"/>
        <w:ind w:left="1134" w:leftChars="338" w:hanging="424" w:hangingChars="177"/>
        <w:rPr>
          <w:bCs/>
          <w:sz w:val="24"/>
        </w:rPr>
      </w:pPr>
      <w:r>
        <w:rPr>
          <w:bCs/>
          <w:sz w:val="24"/>
        </w:rPr>
        <w:t>k）暂停期超过6个月而未接受相应处理的。</w:t>
      </w:r>
    </w:p>
    <w:p>
      <w:pPr>
        <w:tabs>
          <w:tab w:val="left" w:pos="180"/>
          <w:tab w:val="left" w:pos="360"/>
          <w:tab w:val="left" w:pos="540"/>
          <w:tab w:val="left" w:pos="720"/>
          <w:tab w:val="left" w:pos="900"/>
        </w:tabs>
        <w:spacing w:line="380" w:lineRule="exact"/>
        <w:rPr>
          <w:sz w:val="24"/>
        </w:rPr>
      </w:pPr>
      <w:r>
        <w:rPr>
          <w:sz w:val="24"/>
        </w:rPr>
        <w:t>9.7.2 撤销认证的组织必须：</w:t>
      </w:r>
    </w:p>
    <w:p>
      <w:pPr>
        <w:tabs>
          <w:tab w:val="left" w:pos="180"/>
          <w:tab w:val="left" w:pos="360"/>
          <w:tab w:val="left" w:pos="540"/>
          <w:tab w:val="left" w:pos="720"/>
          <w:tab w:val="left" w:pos="900"/>
        </w:tabs>
        <w:spacing w:line="380" w:lineRule="exact"/>
        <w:ind w:firstLine="708" w:firstLineChars="295"/>
        <w:rPr>
          <w:bCs/>
          <w:sz w:val="24"/>
        </w:rPr>
      </w:pPr>
      <w:r>
        <w:rPr>
          <w:bCs/>
          <w:sz w:val="24"/>
        </w:rPr>
        <w:t>a）必须停止使用认证标志、认证证书和宣传认证状态；</w:t>
      </w:r>
    </w:p>
    <w:p>
      <w:pPr>
        <w:tabs>
          <w:tab w:val="left" w:pos="180"/>
          <w:tab w:val="left" w:pos="360"/>
          <w:tab w:val="left" w:pos="540"/>
          <w:tab w:val="left" w:pos="720"/>
          <w:tab w:val="left" w:pos="900"/>
        </w:tabs>
        <w:spacing w:line="380" w:lineRule="exact"/>
        <w:ind w:firstLine="708" w:firstLineChars="295"/>
        <w:rPr>
          <w:bCs/>
          <w:sz w:val="24"/>
        </w:rPr>
      </w:pPr>
      <w:r>
        <w:rPr>
          <w:bCs/>
          <w:sz w:val="24"/>
        </w:rPr>
        <w:t>b) 交回认证证书。</w:t>
      </w:r>
    </w:p>
    <w:p>
      <w:pPr>
        <w:tabs>
          <w:tab w:val="left" w:pos="180"/>
          <w:tab w:val="left" w:pos="360"/>
          <w:tab w:val="left" w:pos="540"/>
          <w:tab w:val="left" w:pos="720"/>
          <w:tab w:val="left" w:pos="900"/>
        </w:tabs>
        <w:spacing w:line="380" w:lineRule="exact"/>
        <w:ind w:firstLine="960" w:firstLineChars="400"/>
        <w:rPr>
          <w:bCs/>
          <w:sz w:val="24"/>
        </w:rPr>
      </w:pPr>
    </w:p>
    <w:p>
      <w:pPr>
        <w:spacing w:line="380" w:lineRule="exact"/>
        <w:rPr>
          <w:b/>
          <w:sz w:val="24"/>
        </w:rPr>
      </w:pPr>
      <w:r>
        <w:rPr>
          <w:b/>
          <w:sz w:val="24"/>
        </w:rPr>
        <w:t>9.8恢复认证</w:t>
      </w:r>
    </w:p>
    <w:p>
      <w:pPr>
        <w:spacing w:line="380" w:lineRule="exact"/>
        <w:ind w:left="600" w:hanging="600" w:hangingChars="250"/>
        <w:rPr>
          <w:sz w:val="24"/>
        </w:rPr>
      </w:pPr>
      <w:r>
        <w:rPr>
          <w:sz w:val="24"/>
        </w:rPr>
        <w:t>9.8.1对于认证资格被暂停的获证组织，在收到该组织提出恢复使用认证证书的书面申请材料后，若确认其在规定期限内已采取有效的纠正措施重新满足相关要求，报总经理审批后将书面通知该组织恢复其认证证书的使用权，并恢复对该获证组织相应管理体系的后续审核安排。</w:t>
      </w:r>
    </w:p>
    <w:p>
      <w:pPr>
        <w:spacing w:line="380" w:lineRule="exact"/>
        <w:ind w:left="600" w:hanging="600" w:hangingChars="250"/>
        <w:rPr>
          <w:sz w:val="24"/>
        </w:rPr>
      </w:pPr>
      <w:r>
        <w:rPr>
          <w:sz w:val="24"/>
        </w:rPr>
        <w:t>9.8.2对于认证资格被暂停的获证组织，如通过重新审核的方式来确认该组织纠正措施的有效性，公司恢复其使用认证证书的书面通知将以审核报告的形式通知该组织；如通过其他方式来确认该组织纠正措施的有效性，公司恢复其使用认证证书的书面通知将以“认证证书恢复通知书”的形式通知该组织。</w:t>
      </w:r>
    </w:p>
    <w:p>
      <w:pPr>
        <w:spacing w:line="380" w:lineRule="exact"/>
        <w:ind w:left="600" w:hanging="600" w:hangingChars="250"/>
      </w:pPr>
      <w:r>
        <w:rPr>
          <w:sz w:val="24"/>
        </w:rPr>
        <w:t>9.8.3对于违反认证规定而被撤销注册认证资格的获证组织，不论其原来是在公司还是在其他认证机构获得的注册认证资格，公司再次受理其认证注册申请的时间自其被撤销认证资格之日起不少于12个月。</w:t>
      </w:r>
    </w:p>
    <w:p/>
    <w:p>
      <w:pPr>
        <w:pStyle w:val="2"/>
        <w:spacing w:before="120" w:after="120"/>
        <w:ind w:left="0" w:firstLine="0"/>
        <w:rPr>
          <w:rStyle w:val="58"/>
          <w:b/>
          <w:bCs/>
        </w:rPr>
      </w:pPr>
      <w:bookmarkStart w:id="25" w:name="_Toc53087562"/>
      <w:r>
        <w:t>10.0</w:t>
      </w:r>
      <w:r>
        <w:rPr>
          <w:rStyle w:val="58"/>
          <w:b/>
          <w:bCs/>
        </w:rPr>
        <w:t>申请组织与审核方的权利与义务</w:t>
      </w:r>
      <w:bookmarkEnd w:id="25"/>
    </w:p>
    <w:p>
      <w:pPr>
        <w:spacing w:line="380" w:lineRule="exact"/>
        <w:rPr>
          <w:b/>
          <w:sz w:val="24"/>
        </w:rPr>
      </w:pPr>
      <w:r>
        <w:rPr>
          <w:b/>
          <w:sz w:val="24"/>
        </w:rPr>
        <w:t>10.1.申请组织的权利</w:t>
      </w:r>
    </w:p>
    <w:p>
      <w:pPr>
        <w:spacing w:line="380" w:lineRule="exact"/>
        <w:rPr>
          <w:sz w:val="24"/>
        </w:rPr>
      </w:pPr>
      <w:r>
        <w:rPr>
          <w:sz w:val="24"/>
        </w:rPr>
        <w:t>10.1.1 有权自我决策是否提出体系认证申请和自由选择认证机构。</w:t>
      </w:r>
    </w:p>
    <w:p>
      <w:pPr>
        <w:spacing w:line="380" w:lineRule="exact"/>
        <w:rPr>
          <w:sz w:val="24"/>
        </w:rPr>
      </w:pPr>
      <w:r>
        <w:rPr>
          <w:sz w:val="24"/>
        </w:rPr>
        <w:t xml:space="preserve">10.1.2 有权要求审核组保守组织的商业、技术等秘密。 </w:t>
      </w:r>
    </w:p>
    <w:p>
      <w:pPr>
        <w:spacing w:line="380" w:lineRule="exact"/>
        <w:rPr>
          <w:sz w:val="24"/>
        </w:rPr>
      </w:pPr>
      <w:r>
        <w:rPr>
          <w:sz w:val="24"/>
        </w:rPr>
        <w:t xml:space="preserve">10.1.3 有权拒绝审核员任何与审核工作无关的要求。 </w:t>
      </w:r>
    </w:p>
    <w:p>
      <w:pPr>
        <w:spacing w:line="380" w:lineRule="exact"/>
        <w:rPr>
          <w:sz w:val="24"/>
        </w:rPr>
      </w:pPr>
      <w:r>
        <w:rPr>
          <w:sz w:val="24"/>
        </w:rPr>
        <w:t xml:space="preserve">10.1.4 有权对审核组的审核公正性进行投诉。 </w:t>
      </w:r>
    </w:p>
    <w:p>
      <w:pPr>
        <w:spacing w:line="380" w:lineRule="exact"/>
        <w:rPr>
          <w:sz w:val="24"/>
        </w:rPr>
      </w:pPr>
      <w:r>
        <w:rPr>
          <w:sz w:val="24"/>
        </w:rPr>
        <w:t xml:space="preserve">10.1.5 正确使用认证证书和标志。 </w:t>
      </w:r>
    </w:p>
    <w:p>
      <w:pPr>
        <w:spacing w:line="380" w:lineRule="exact"/>
        <w:rPr>
          <w:sz w:val="24"/>
        </w:rPr>
      </w:pPr>
      <w:r>
        <w:rPr>
          <w:sz w:val="24"/>
        </w:rPr>
        <w:t>10.1.6 有权对认证结果进行申诉。</w:t>
      </w:r>
    </w:p>
    <w:p>
      <w:pPr>
        <w:spacing w:line="380" w:lineRule="exact"/>
        <w:rPr>
          <w:sz w:val="24"/>
        </w:rPr>
      </w:pPr>
      <w:r>
        <w:rPr>
          <w:sz w:val="24"/>
        </w:rPr>
        <w:t>10.1.7 申请扩大/缩小认证范围，注销部分或全部认证范围。</w:t>
      </w:r>
    </w:p>
    <w:p>
      <w:pPr>
        <w:spacing w:line="380" w:lineRule="exact"/>
        <w:rPr>
          <w:sz w:val="24"/>
        </w:rPr>
      </w:pPr>
    </w:p>
    <w:p>
      <w:pPr>
        <w:spacing w:line="380" w:lineRule="exact"/>
        <w:rPr>
          <w:b/>
          <w:sz w:val="24"/>
        </w:rPr>
      </w:pPr>
      <w:r>
        <w:rPr>
          <w:b/>
          <w:sz w:val="24"/>
        </w:rPr>
        <w:t>10.2.申请组织的义务</w:t>
      </w:r>
    </w:p>
    <w:p>
      <w:pPr>
        <w:spacing w:line="380" w:lineRule="exact"/>
        <w:rPr>
          <w:sz w:val="24"/>
        </w:rPr>
      </w:pPr>
      <w:r>
        <w:rPr>
          <w:sz w:val="24"/>
        </w:rPr>
        <w:t>10.2.1 在申请时，不得隐瞒组织的真实情况，并应提供以下资料：</w:t>
      </w:r>
    </w:p>
    <w:p>
      <w:pPr>
        <w:numPr>
          <w:ilvl w:val="0"/>
          <w:numId w:val="6"/>
        </w:numPr>
        <w:spacing w:line="380" w:lineRule="exact"/>
        <w:ind w:left="840"/>
        <w:rPr>
          <w:sz w:val="24"/>
        </w:rPr>
      </w:pPr>
      <w:r>
        <w:rPr>
          <w:sz w:val="24"/>
        </w:rPr>
        <w:t xml:space="preserve">组织独立的法律资格证明材料（如：有效期内的营业执照等）； </w:t>
      </w:r>
    </w:p>
    <w:p>
      <w:pPr>
        <w:numPr>
          <w:ilvl w:val="0"/>
          <w:numId w:val="6"/>
        </w:numPr>
        <w:spacing w:line="380" w:lineRule="exact"/>
        <w:ind w:left="840"/>
        <w:rPr>
          <w:sz w:val="24"/>
        </w:rPr>
      </w:pPr>
      <w:r>
        <w:rPr>
          <w:sz w:val="24"/>
        </w:rPr>
        <w:t xml:space="preserve">各类有效期内的生产/经营许可证和/或资质证书（行政许可法规定的行业和/或产品）； </w:t>
      </w:r>
    </w:p>
    <w:p>
      <w:pPr>
        <w:numPr>
          <w:ilvl w:val="0"/>
          <w:numId w:val="6"/>
        </w:numPr>
        <w:spacing w:line="380" w:lineRule="exact"/>
        <w:ind w:left="840"/>
        <w:rPr>
          <w:sz w:val="24"/>
        </w:rPr>
      </w:pPr>
      <w:r>
        <w:rPr>
          <w:sz w:val="24"/>
        </w:rPr>
        <w:t xml:space="preserve">体系所涉及的过程、产品及服务流程图； </w:t>
      </w:r>
    </w:p>
    <w:p>
      <w:pPr>
        <w:numPr>
          <w:ilvl w:val="0"/>
          <w:numId w:val="6"/>
        </w:numPr>
        <w:spacing w:line="380" w:lineRule="exact"/>
        <w:ind w:left="840"/>
        <w:rPr>
          <w:sz w:val="24"/>
        </w:rPr>
      </w:pPr>
      <w:r>
        <w:rPr>
          <w:sz w:val="24"/>
        </w:rPr>
        <w:t xml:space="preserve">重要环境因素清单（仅适用于申请环境管理体系认证）； </w:t>
      </w:r>
    </w:p>
    <w:p>
      <w:pPr>
        <w:numPr>
          <w:ilvl w:val="0"/>
          <w:numId w:val="6"/>
        </w:numPr>
        <w:spacing w:line="380" w:lineRule="exact"/>
        <w:ind w:left="840"/>
        <w:rPr>
          <w:sz w:val="24"/>
        </w:rPr>
      </w:pPr>
      <w:r>
        <w:rPr>
          <w:sz w:val="24"/>
        </w:rPr>
        <w:t xml:space="preserve">排放达标证明文件等文件(仅适用于申请环境管理体系认证）； </w:t>
      </w:r>
    </w:p>
    <w:p>
      <w:pPr>
        <w:numPr>
          <w:ilvl w:val="0"/>
          <w:numId w:val="6"/>
        </w:numPr>
        <w:spacing w:line="380" w:lineRule="exact"/>
        <w:ind w:left="840"/>
        <w:rPr>
          <w:sz w:val="24"/>
        </w:rPr>
      </w:pPr>
      <w:r>
        <w:rPr>
          <w:sz w:val="24"/>
        </w:rPr>
        <w:t xml:space="preserve">重大危险源清单及危险源控制合规的有关文件(仅适用于职业健康安全管理体系认证）； </w:t>
      </w:r>
    </w:p>
    <w:p>
      <w:pPr>
        <w:numPr>
          <w:ilvl w:val="0"/>
          <w:numId w:val="6"/>
        </w:numPr>
        <w:spacing w:line="380" w:lineRule="exact"/>
        <w:ind w:left="840"/>
        <w:rPr>
          <w:sz w:val="24"/>
        </w:rPr>
      </w:pPr>
      <w:r>
        <w:rPr>
          <w:sz w:val="24"/>
        </w:rPr>
        <w:t xml:space="preserve">适用的法律、法规及强制性标准清单； </w:t>
      </w:r>
    </w:p>
    <w:p>
      <w:pPr>
        <w:numPr>
          <w:ilvl w:val="0"/>
          <w:numId w:val="6"/>
        </w:numPr>
        <w:spacing w:line="380" w:lineRule="exact"/>
        <w:ind w:left="840"/>
        <w:rPr>
          <w:sz w:val="24"/>
        </w:rPr>
      </w:pPr>
      <w:r>
        <w:rPr>
          <w:sz w:val="24"/>
        </w:rPr>
        <w:t>现场审核前一个月提交质量管理体系/环境管理体系/职业健康安全管理体系文件，并对其符合性负责；</w:t>
      </w:r>
    </w:p>
    <w:p>
      <w:pPr>
        <w:spacing w:line="380" w:lineRule="exact"/>
        <w:ind w:left="600" w:hanging="600" w:hangingChars="250"/>
        <w:rPr>
          <w:sz w:val="24"/>
        </w:rPr>
      </w:pPr>
      <w:r>
        <w:rPr>
          <w:sz w:val="24"/>
        </w:rPr>
        <w:t xml:space="preserve">10.2.2 始终遵守中盛的有关认证规定。  </w:t>
      </w:r>
    </w:p>
    <w:p>
      <w:pPr>
        <w:spacing w:line="380" w:lineRule="exact"/>
        <w:ind w:left="714" w:leftChars="1" w:hanging="712" w:hangingChars="297"/>
        <w:rPr>
          <w:sz w:val="24"/>
        </w:rPr>
      </w:pPr>
      <w:r>
        <w:rPr>
          <w:sz w:val="24"/>
        </w:rPr>
        <w:t>10.2.3 遵守国家有关的法律、法规，了解认监委《质量管理体系要求》的要求。(《要求》可在</w:t>
      </w:r>
      <w:r>
        <w:fldChar w:fldCharType="begin"/>
      </w:r>
      <w:r>
        <w:instrText xml:space="preserve"> HYPERLINK "http://www.lajcc.cn" </w:instrText>
      </w:r>
      <w:r>
        <w:fldChar w:fldCharType="separate"/>
      </w:r>
      <w:r>
        <w:rPr>
          <w:sz w:val="24"/>
        </w:rPr>
        <w:t>www.zs-cert.com</w:t>
      </w:r>
      <w:r>
        <w:rPr>
          <w:sz w:val="24"/>
        </w:rPr>
        <w:fldChar w:fldCharType="end"/>
      </w:r>
      <w:r>
        <w:rPr>
          <w:sz w:val="24"/>
        </w:rPr>
        <w:t>网站“法律法规”栏查询获取）</w:t>
      </w:r>
    </w:p>
    <w:p>
      <w:pPr>
        <w:spacing w:line="380" w:lineRule="exact"/>
        <w:ind w:left="714" w:leftChars="1" w:hanging="712" w:hangingChars="297"/>
        <w:rPr>
          <w:sz w:val="24"/>
        </w:rPr>
      </w:pPr>
      <w:r>
        <w:rPr>
          <w:sz w:val="24"/>
        </w:rPr>
        <w:t>10.2.4为进行审核和解决投诉做出必要的安排，包括审查文件、初次认证、监督、再认证进入所有区域、调阅所有记录和访问人员提供条件，并在必要时为到场的观察员提供条件。</w:t>
      </w:r>
    </w:p>
    <w:p>
      <w:pPr>
        <w:spacing w:line="380" w:lineRule="exact"/>
        <w:ind w:left="714" w:leftChars="1" w:hanging="712" w:hangingChars="297"/>
        <w:rPr>
          <w:sz w:val="24"/>
        </w:rPr>
      </w:pPr>
      <w:r>
        <w:rPr>
          <w:sz w:val="24"/>
        </w:rPr>
        <w:t>10.2.5 对误用认证证书和认证标志承担责任并采取纠正措施，在宣传认证结果时，不得损害中盛的声誉，不得做中盛认为误导或未授权的声明。</w:t>
      </w:r>
    </w:p>
    <w:p>
      <w:pPr>
        <w:spacing w:line="380" w:lineRule="exact"/>
        <w:ind w:left="714" w:leftChars="1" w:hanging="712" w:hangingChars="297"/>
        <w:rPr>
          <w:sz w:val="24"/>
        </w:rPr>
      </w:pPr>
      <w:r>
        <w:rPr>
          <w:sz w:val="24"/>
        </w:rPr>
        <w:t>10.2.6 当认证被暂停或撤销后，应立即停止涉及认证内容的广告，并按认证机构要求交回所有的认证文件。</w:t>
      </w:r>
    </w:p>
    <w:p>
      <w:pPr>
        <w:spacing w:line="380" w:lineRule="exact"/>
        <w:ind w:left="714" w:leftChars="1" w:hanging="712" w:hangingChars="297"/>
        <w:rPr>
          <w:sz w:val="24"/>
        </w:rPr>
      </w:pPr>
      <w:r>
        <w:rPr>
          <w:sz w:val="24"/>
        </w:rPr>
        <w:t>10.2.7 管理体系认证证书只能用来证明其体系符合了特定标准或其它引用文件，不能超越使用认证证书中所限定的认证范围。</w:t>
      </w:r>
    </w:p>
    <w:p>
      <w:pPr>
        <w:spacing w:line="380" w:lineRule="exact"/>
        <w:ind w:left="714" w:leftChars="1" w:hanging="712" w:hangingChars="297"/>
        <w:rPr>
          <w:sz w:val="24"/>
        </w:rPr>
      </w:pPr>
      <w:r>
        <w:rPr>
          <w:sz w:val="24"/>
        </w:rPr>
        <w:t>10.2.8 按时接受监督审核，及时向认证机构通报信息。</w:t>
      </w:r>
    </w:p>
    <w:p>
      <w:pPr>
        <w:spacing w:line="380" w:lineRule="exact"/>
        <w:ind w:left="714" w:leftChars="1" w:hanging="712" w:hangingChars="297"/>
        <w:rPr>
          <w:sz w:val="24"/>
        </w:rPr>
      </w:pPr>
      <w:r>
        <w:rPr>
          <w:sz w:val="24"/>
        </w:rPr>
        <w:t>10.2.9 配合认证机构调查和处理对组织的投诉。</w:t>
      </w:r>
    </w:p>
    <w:p>
      <w:pPr>
        <w:spacing w:line="380" w:lineRule="exact"/>
        <w:ind w:left="714" w:leftChars="1" w:hanging="712" w:hangingChars="297"/>
        <w:rPr>
          <w:sz w:val="24"/>
        </w:rPr>
      </w:pPr>
      <w:r>
        <w:rPr>
          <w:sz w:val="24"/>
        </w:rPr>
        <w:t>10.2.10 接受中国合格评定国家认可委员会安排的认可见证评审；接受认可委对获证企业的确认审核。</w:t>
      </w:r>
    </w:p>
    <w:p>
      <w:pPr>
        <w:spacing w:line="380" w:lineRule="exact"/>
        <w:ind w:left="714" w:leftChars="1" w:hanging="712" w:hangingChars="297"/>
        <w:rPr>
          <w:sz w:val="24"/>
        </w:rPr>
      </w:pPr>
      <w:r>
        <w:rPr>
          <w:sz w:val="24"/>
        </w:rPr>
        <w:t>10.2.11 获证期间接受国家认监委/地方监管机构的稽查。</w:t>
      </w:r>
    </w:p>
    <w:p>
      <w:pPr>
        <w:spacing w:line="380" w:lineRule="exact"/>
        <w:ind w:left="600" w:hanging="600" w:hangingChars="250"/>
        <w:rPr>
          <w:sz w:val="24"/>
          <w:highlight w:val="none"/>
        </w:rPr>
      </w:pPr>
      <w:r>
        <w:rPr>
          <w:sz w:val="24"/>
          <w:highlight w:val="none"/>
        </w:rPr>
        <w:t>10.2.12申请组织发生下列情况的变更，必须及时通知中盛：</w:t>
      </w:r>
    </w:p>
    <w:p>
      <w:pPr>
        <w:numPr>
          <w:ilvl w:val="0"/>
          <w:numId w:val="7"/>
        </w:numPr>
        <w:spacing w:line="380" w:lineRule="exact"/>
        <w:ind w:left="840"/>
        <w:rPr>
          <w:sz w:val="24"/>
          <w:highlight w:val="none"/>
        </w:rPr>
      </w:pPr>
      <w:r>
        <w:rPr>
          <w:sz w:val="24"/>
          <w:highlight w:val="none"/>
        </w:rPr>
        <w:t>法律地位、经营状况、组织状态或所有权发生变更；</w:t>
      </w:r>
    </w:p>
    <w:p>
      <w:pPr>
        <w:numPr>
          <w:ilvl w:val="0"/>
          <w:numId w:val="7"/>
        </w:numPr>
        <w:spacing w:line="380" w:lineRule="exact"/>
        <w:ind w:left="840"/>
        <w:rPr>
          <w:sz w:val="24"/>
          <w:highlight w:val="none"/>
        </w:rPr>
      </w:pPr>
      <w:r>
        <w:rPr>
          <w:sz w:val="24"/>
          <w:highlight w:val="none"/>
        </w:rPr>
        <w:t>组织和管理层发生变更；</w:t>
      </w:r>
    </w:p>
    <w:p>
      <w:pPr>
        <w:numPr>
          <w:ilvl w:val="0"/>
          <w:numId w:val="7"/>
        </w:numPr>
        <w:spacing w:line="380" w:lineRule="exact"/>
        <w:ind w:left="840"/>
        <w:rPr>
          <w:sz w:val="24"/>
          <w:highlight w:val="none"/>
        </w:rPr>
      </w:pPr>
      <w:r>
        <w:rPr>
          <w:sz w:val="24"/>
          <w:highlight w:val="none"/>
        </w:rPr>
        <w:t>生产地址和场所发生变更；</w:t>
      </w:r>
    </w:p>
    <w:p>
      <w:pPr>
        <w:numPr>
          <w:ilvl w:val="0"/>
          <w:numId w:val="7"/>
        </w:numPr>
        <w:spacing w:line="380" w:lineRule="exact"/>
        <w:ind w:left="840"/>
        <w:rPr>
          <w:sz w:val="24"/>
          <w:highlight w:val="none"/>
        </w:rPr>
      </w:pPr>
      <w:r>
        <w:rPr>
          <w:sz w:val="24"/>
          <w:highlight w:val="none"/>
        </w:rPr>
        <w:t>获证管理体系覆盖的产品范围发生变更；</w:t>
      </w:r>
    </w:p>
    <w:p>
      <w:pPr>
        <w:numPr>
          <w:ilvl w:val="0"/>
          <w:numId w:val="7"/>
        </w:numPr>
        <w:spacing w:line="380" w:lineRule="exact"/>
        <w:ind w:left="840"/>
        <w:rPr>
          <w:sz w:val="24"/>
          <w:highlight w:val="none"/>
        </w:rPr>
      </w:pPr>
      <w:r>
        <w:rPr>
          <w:sz w:val="24"/>
          <w:highlight w:val="none"/>
        </w:rPr>
        <w:t>管理体系和过程的重大变更。</w:t>
      </w:r>
    </w:p>
    <w:p>
      <w:pPr>
        <w:spacing w:line="380" w:lineRule="exact"/>
        <w:rPr>
          <w:sz w:val="24"/>
          <w:highlight w:val="none"/>
        </w:rPr>
      </w:pPr>
      <w:r>
        <w:rPr>
          <w:sz w:val="24"/>
          <w:highlight w:val="none"/>
        </w:rPr>
        <w:t>10.2.13 按合同及相关约定缴纳认证费用。</w:t>
      </w:r>
    </w:p>
    <w:p>
      <w:pPr>
        <w:spacing w:line="380" w:lineRule="exact"/>
        <w:rPr>
          <w:sz w:val="24"/>
        </w:rPr>
      </w:pPr>
    </w:p>
    <w:p>
      <w:pPr>
        <w:spacing w:line="380" w:lineRule="exact"/>
        <w:rPr>
          <w:b/>
          <w:sz w:val="24"/>
        </w:rPr>
      </w:pPr>
      <w:r>
        <w:rPr>
          <w:b/>
          <w:sz w:val="24"/>
        </w:rPr>
        <w:t>10.3. 审核方的权利</w:t>
      </w:r>
    </w:p>
    <w:p>
      <w:pPr>
        <w:spacing w:line="380" w:lineRule="exact"/>
        <w:ind w:left="714" w:leftChars="1" w:hanging="712" w:hangingChars="297"/>
        <w:rPr>
          <w:sz w:val="24"/>
        </w:rPr>
      </w:pPr>
      <w:r>
        <w:rPr>
          <w:sz w:val="24"/>
        </w:rPr>
        <w:t>10.3.1按照国家相关法律法规和中国合格评定国家认可委员会的认可规范文件的要求，制定中盛的认证审核工作程序和管理规定。</w:t>
      </w:r>
    </w:p>
    <w:p>
      <w:pPr>
        <w:spacing w:line="380" w:lineRule="exact"/>
        <w:ind w:left="714" w:leftChars="1" w:hanging="712" w:hangingChars="297"/>
        <w:rPr>
          <w:sz w:val="24"/>
        </w:rPr>
      </w:pPr>
      <w:r>
        <w:rPr>
          <w:sz w:val="24"/>
        </w:rPr>
        <w:t>10.3.2 在拟认证的范围内按相关工作程序和管理规定实施审核并做出认证决定。</w:t>
      </w:r>
    </w:p>
    <w:p>
      <w:pPr>
        <w:spacing w:line="380" w:lineRule="exact"/>
        <w:ind w:left="714" w:leftChars="1" w:hanging="712" w:hangingChars="297"/>
        <w:rPr>
          <w:sz w:val="24"/>
        </w:rPr>
      </w:pPr>
      <w:r>
        <w:rPr>
          <w:sz w:val="24"/>
        </w:rPr>
        <w:t>10.3.3 要求组织按认证合同的约定支付认证费用。</w:t>
      </w:r>
    </w:p>
    <w:p>
      <w:pPr>
        <w:spacing w:line="380" w:lineRule="exact"/>
        <w:ind w:left="714" w:leftChars="1" w:hanging="712" w:hangingChars="297"/>
        <w:rPr>
          <w:sz w:val="24"/>
        </w:rPr>
      </w:pPr>
      <w:r>
        <w:rPr>
          <w:sz w:val="24"/>
        </w:rPr>
        <w:t>10.3.4 对获证组织进行监督审核和再认证，对获证组织不再满足认证要求时，采取暂停和撤销认证资格； 拥有认证证书和认证标志的所有权和对获证组织使用的监督权。</w:t>
      </w:r>
    </w:p>
    <w:p>
      <w:pPr>
        <w:spacing w:line="380" w:lineRule="exact"/>
        <w:ind w:left="714" w:leftChars="1" w:hanging="712" w:hangingChars="297"/>
        <w:rPr>
          <w:sz w:val="24"/>
        </w:rPr>
      </w:pPr>
      <w:r>
        <w:rPr>
          <w:sz w:val="24"/>
        </w:rPr>
        <w:t>10.3.5 处理来自组织或其他方面有关认证的申诉、投诉和争议。</w:t>
      </w:r>
    </w:p>
    <w:p>
      <w:pPr>
        <w:spacing w:line="380" w:lineRule="exact"/>
        <w:ind w:left="714" w:leftChars="1" w:hanging="712" w:hangingChars="297"/>
        <w:rPr>
          <w:sz w:val="24"/>
        </w:rPr>
      </w:pPr>
      <w:r>
        <w:rPr>
          <w:sz w:val="24"/>
        </w:rPr>
        <w:t>10.3.6 制定认证证书、认证标志的使用规定并授权使用。</w:t>
      </w:r>
    </w:p>
    <w:p>
      <w:pPr>
        <w:spacing w:line="380" w:lineRule="exact"/>
        <w:ind w:left="714" w:leftChars="1" w:hanging="712" w:hangingChars="297"/>
        <w:rPr>
          <w:sz w:val="24"/>
        </w:rPr>
      </w:pPr>
      <w:r>
        <w:rPr>
          <w:sz w:val="24"/>
        </w:rPr>
        <w:t>10.3.7 要求组织提供有关认证审核、监督审核、再认证或解决投诉所必需的文件资料，并对进入相关审核区域、调阅记录和访问人员提供方便。根据行业要求和公司规定，有权对获证组织体系运行有效性开展非例行检查。</w:t>
      </w:r>
    </w:p>
    <w:p>
      <w:pPr>
        <w:spacing w:line="380" w:lineRule="exact"/>
        <w:ind w:left="714" w:leftChars="1" w:hanging="712" w:hangingChars="297"/>
        <w:rPr>
          <w:sz w:val="24"/>
        </w:rPr>
      </w:pPr>
      <w:r>
        <w:rPr>
          <w:sz w:val="24"/>
        </w:rPr>
        <w:t>10.3.8 对获证组织的顾客投诉和依据管理体系标准或其他引用文件要求所采取纠正措施记录的调阅。</w:t>
      </w:r>
    </w:p>
    <w:p>
      <w:pPr>
        <w:spacing w:line="380" w:lineRule="exact"/>
        <w:rPr>
          <w:sz w:val="24"/>
        </w:rPr>
      </w:pPr>
    </w:p>
    <w:p>
      <w:pPr>
        <w:spacing w:line="380" w:lineRule="exact"/>
        <w:rPr>
          <w:b/>
          <w:sz w:val="24"/>
        </w:rPr>
      </w:pPr>
      <w:r>
        <w:rPr>
          <w:b/>
          <w:sz w:val="24"/>
        </w:rPr>
        <w:t>10.4. 审核方的义务</w:t>
      </w:r>
    </w:p>
    <w:p>
      <w:pPr>
        <w:spacing w:line="380" w:lineRule="exact"/>
        <w:ind w:left="714" w:leftChars="1" w:hanging="712" w:hangingChars="297"/>
        <w:rPr>
          <w:sz w:val="24"/>
        </w:rPr>
      </w:pPr>
      <w:r>
        <w:rPr>
          <w:sz w:val="24"/>
        </w:rPr>
        <w:t>10.4.1 中盛的服务对所有申请管理体系认证的委托方或申请组织开放。</w:t>
      </w:r>
    </w:p>
    <w:p>
      <w:pPr>
        <w:spacing w:line="380" w:lineRule="exact"/>
        <w:ind w:left="714" w:leftChars="1" w:hanging="712" w:hangingChars="297"/>
        <w:rPr>
          <w:sz w:val="24"/>
        </w:rPr>
      </w:pPr>
      <w:r>
        <w:rPr>
          <w:sz w:val="24"/>
        </w:rPr>
        <w:t>10.4.2 对认证注册的授予、保持、再认证、扩大、缩小、暂停和撤销负责。</w:t>
      </w:r>
    </w:p>
    <w:p>
      <w:pPr>
        <w:spacing w:line="380" w:lineRule="exact"/>
        <w:ind w:left="714" w:leftChars="1" w:hanging="712" w:hangingChars="297"/>
        <w:rPr>
          <w:sz w:val="24"/>
        </w:rPr>
      </w:pPr>
      <w:r>
        <w:rPr>
          <w:sz w:val="24"/>
        </w:rPr>
        <w:t>10.4.3 不进行任何有关管理体系建立和保持的咨询。</w:t>
      </w:r>
    </w:p>
    <w:p>
      <w:pPr>
        <w:spacing w:line="380" w:lineRule="exact"/>
        <w:ind w:left="714" w:leftChars="1" w:hanging="712" w:hangingChars="297"/>
        <w:rPr>
          <w:sz w:val="24"/>
        </w:rPr>
      </w:pPr>
      <w:r>
        <w:rPr>
          <w:sz w:val="24"/>
        </w:rPr>
        <w:t>10.4.4 中盛将有关认证的要求及更改及时通知获证客户。</w:t>
      </w:r>
    </w:p>
    <w:p>
      <w:pPr>
        <w:spacing w:line="380" w:lineRule="exact"/>
        <w:ind w:left="714" w:leftChars="1" w:hanging="712" w:hangingChars="297"/>
        <w:rPr>
          <w:sz w:val="24"/>
        </w:rPr>
      </w:pPr>
      <w:r>
        <w:rPr>
          <w:sz w:val="24"/>
        </w:rPr>
        <w:t>10.4.5 确保中盛所有参与认证工作的人员保守在认证过程中所涉及到的获证组织的信息秘密。如需将信息提供给第三方时，中盛应通知受审核方所要提供的信息。当法律要求需要将信息提供给第三方时，应事先以书面形式通知组织。</w:t>
      </w:r>
    </w:p>
    <w:p>
      <w:pPr>
        <w:spacing w:line="380" w:lineRule="exact"/>
        <w:ind w:left="714" w:leftChars="1" w:hanging="712" w:hangingChars="297"/>
        <w:rPr>
          <w:sz w:val="24"/>
        </w:rPr>
      </w:pPr>
      <w:r>
        <w:rPr>
          <w:sz w:val="24"/>
        </w:rPr>
        <w:t>10.4.6 调查获证组织对认证服务的满意度，</w:t>
      </w:r>
    </w:p>
    <w:p>
      <w:pPr>
        <w:spacing w:line="380" w:lineRule="exact"/>
        <w:ind w:left="714" w:leftChars="1" w:hanging="712" w:hangingChars="297"/>
        <w:rPr>
          <w:sz w:val="24"/>
        </w:rPr>
      </w:pPr>
      <w:r>
        <w:rPr>
          <w:sz w:val="24"/>
        </w:rPr>
        <w:t>10.4.7 回答和解释组织所提出的置疑，并提供相关信息。</w:t>
      </w:r>
    </w:p>
    <w:p>
      <w:pPr>
        <w:spacing w:line="380" w:lineRule="exact"/>
        <w:ind w:firstLine="720" w:firstLineChars="300"/>
        <w:rPr>
          <w:sz w:val="24"/>
        </w:rPr>
      </w:pPr>
      <w:r>
        <w:rPr>
          <w:sz w:val="24"/>
        </w:rPr>
        <w:t>注：本文件可在</w:t>
      </w:r>
      <w:r>
        <w:fldChar w:fldCharType="begin"/>
      </w:r>
      <w:r>
        <w:instrText xml:space="preserve"> HYPERLINK "http://www.lajcc.cn" </w:instrText>
      </w:r>
      <w:r>
        <w:fldChar w:fldCharType="separate"/>
      </w:r>
      <w:r>
        <w:rPr>
          <w:rStyle w:val="38"/>
          <w:color w:val="auto"/>
          <w:sz w:val="24"/>
          <w:lang w:eastAsia="ja-JP"/>
        </w:rPr>
        <w:t>www.zs-cert.com</w:t>
      </w:r>
      <w:r>
        <w:rPr>
          <w:rStyle w:val="38"/>
          <w:color w:val="auto"/>
          <w:sz w:val="24"/>
          <w:lang w:eastAsia="ja-JP"/>
        </w:rPr>
        <w:fldChar w:fldCharType="end"/>
      </w:r>
      <w:r>
        <w:rPr>
          <w:sz w:val="24"/>
        </w:rPr>
        <w:t>网站“认证服务”栏查询获取。</w:t>
      </w:r>
    </w:p>
    <w:p>
      <w:pPr>
        <w:spacing w:line="380" w:lineRule="exact"/>
        <w:jc w:val="center"/>
        <w:rPr>
          <w:sz w:val="24"/>
          <w:highlight w:val="red"/>
        </w:rPr>
      </w:pPr>
    </w:p>
    <w:p>
      <w:pPr>
        <w:pStyle w:val="2"/>
        <w:spacing w:before="120" w:after="120"/>
        <w:rPr>
          <w:highlight w:val="none"/>
        </w:rPr>
      </w:pPr>
      <w:bookmarkStart w:id="26" w:name="_Toc53087563"/>
      <w:r>
        <w:rPr>
          <w:highlight w:val="none"/>
        </w:rPr>
        <w:t>11.0认证标志和认证证书管理规定</w:t>
      </w:r>
      <w:bookmarkEnd w:id="26"/>
    </w:p>
    <w:p>
      <w:pPr>
        <w:tabs>
          <w:tab w:val="left" w:pos="426"/>
        </w:tabs>
        <w:spacing w:line="380" w:lineRule="exact"/>
        <w:ind w:left="425" w:hanging="424" w:hangingChars="177"/>
        <w:rPr>
          <w:sz w:val="24"/>
        </w:rPr>
      </w:pPr>
      <w:r>
        <w:rPr>
          <w:sz w:val="24"/>
        </w:rPr>
        <w:t>11.1深圳市中盛认证有限公司（以下简称 中盛）颁发的管理体系认证证书和所带的标志属于深圳市中盛认证有限公司所有，获证组织在使用认证证书、引用认证状态和使用认证标志时应执行本规定。</w:t>
      </w:r>
    </w:p>
    <w:p>
      <w:pPr>
        <w:spacing w:line="380" w:lineRule="exact"/>
        <w:ind w:left="714" w:leftChars="1" w:hanging="712" w:hangingChars="297"/>
        <w:rPr>
          <w:sz w:val="24"/>
        </w:rPr>
      </w:pPr>
      <w:r>
        <w:rPr>
          <w:sz w:val="24"/>
        </w:rPr>
        <w:t>11.2定义和说明</w:t>
      </w:r>
    </w:p>
    <w:p>
      <w:pPr>
        <w:spacing w:line="380" w:lineRule="exact"/>
        <w:ind w:left="714" w:leftChars="1" w:hanging="712" w:hangingChars="297"/>
        <w:rPr>
          <w:sz w:val="24"/>
        </w:rPr>
      </w:pPr>
      <w:r>
        <w:rPr>
          <w:sz w:val="24"/>
        </w:rPr>
        <w:t>11.2.1 中盛认证标志：是指中盛颁发的以证明获证组织的管理体系通过认证的专有符号、图案或者符号、图案以及文字的组合。</w:t>
      </w:r>
    </w:p>
    <w:p>
      <w:pPr>
        <w:spacing w:line="380" w:lineRule="exact"/>
        <w:ind w:left="714" w:leftChars="1" w:hanging="712" w:hangingChars="297"/>
        <w:rPr>
          <w:sz w:val="24"/>
        </w:rPr>
      </w:pPr>
      <w:r>
        <w:rPr>
          <w:sz w:val="24"/>
        </w:rPr>
        <w:t>11.2.2 中盛的认证证书中载明了认证所依据的标准和（或）其它引用文件，并带有深圳市中盛认证有限公司的名称及认证标志（“C-SUN”）；如果属于获准认可范围的，则同时带有认可机构的认可标志。</w:t>
      </w:r>
    </w:p>
    <w:p>
      <w:pPr>
        <w:spacing w:line="380" w:lineRule="exact"/>
        <w:ind w:left="714" w:leftChars="1" w:hanging="712" w:hangingChars="297"/>
        <w:rPr>
          <w:sz w:val="24"/>
        </w:rPr>
      </w:pPr>
      <w:r>
        <w:rPr>
          <w:sz w:val="24"/>
        </w:rPr>
        <w:t>11.2.3 中盛具有唯一的认证标志，并受法律保护，其他机构和个人未经中盛的书面允许不得使用“C-SUN”认证标志。</w:t>
      </w:r>
    </w:p>
    <w:p>
      <w:pPr>
        <w:spacing w:line="380" w:lineRule="exact"/>
        <w:ind w:left="714" w:leftChars="1" w:hanging="712" w:hangingChars="297"/>
        <w:rPr>
          <w:color w:val="000000" w:themeColor="text1"/>
          <w:kern w:val="0"/>
          <w:sz w:val="24"/>
          <w14:textFill>
            <w14:solidFill>
              <w14:schemeClr w14:val="tx1"/>
            </w14:solidFill>
          </w14:textFill>
        </w:rPr>
      </w:pPr>
      <w:r>
        <w:rPr>
          <w:sz w:val="24"/>
        </w:rPr>
        <w:t>11.2.4中盛在认证证书中应用了二维码技术，通过二维码向客户及公众提供查询认证信息的一种途径。用户可通过智能手机，使用带有识别QR二维码功能的工具，对证书上的二维码图案进行扫描，获得证书信息验证链接，通过链接进入中盛二维码证书验证平台，及时获取证书最新信息和状态，具体包括证书号、客户名称、认证范围、认证领域、证书有效期、证书状态等信息。</w:t>
      </w:r>
    </w:p>
    <w:p>
      <w:pPr>
        <w:spacing w:line="380" w:lineRule="exact"/>
        <w:ind w:left="714" w:leftChars="1" w:hanging="712" w:hangingChars="297"/>
        <w:rPr>
          <w:sz w:val="24"/>
        </w:rPr>
      </w:pPr>
      <w:r>
        <w:rPr>
          <w:sz w:val="24"/>
        </w:rPr>
        <w:t>11.3认证证书</w:t>
      </w:r>
      <w:r>
        <w:rPr>
          <w:rFonts w:hint="eastAsia"/>
          <w:sz w:val="24"/>
          <w:lang w:val="en-US" w:eastAsia="zh-CN"/>
        </w:rPr>
        <w:t>的</w:t>
      </w:r>
      <w:r>
        <w:rPr>
          <w:sz w:val="24"/>
        </w:rPr>
        <w:t>使用：</w:t>
      </w:r>
    </w:p>
    <w:p>
      <w:pPr>
        <w:spacing w:line="380" w:lineRule="exact"/>
        <w:ind w:left="714" w:leftChars="1" w:hanging="712" w:hangingChars="297"/>
        <w:rPr>
          <w:sz w:val="24"/>
        </w:rPr>
      </w:pPr>
      <w:r>
        <w:rPr>
          <w:sz w:val="24"/>
        </w:rPr>
        <w:t>11.3.1 获证客户在认证证书的有效期内应正确使用认证证书，包括：</w:t>
      </w:r>
    </w:p>
    <w:p>
      <w:pPr>
        <w:spacing w:line="380" w:lineRule="exact"/>
        <w:ind w:left="714" w:leftChars="1" w:hanging="712" w:hangingChars="297"/>
        <w:rPr>
          <w:sz w:val="24"/>
        </w:rPr>
      </w:pPr>
      <w:r>
        <w:rPr>
          <w:sz w:val="24"/>
        </w:rPr>
        <w:t>11.3.1.1  认证证书可以展示在文件、网站、广告和宣传资料中或广告宣传等商业活动，以及通过认证的工作场所、销售场所；</w:t>
      </w:r>
    </w:p>
    <w:p>
      <w:pPr>
        <w:spacing w:line="380" w:lineRule="exact"/>
        <w:ind w:left="714" w:leftChars="1" w:hanging="712" w:hangingChars="297"/>
        <w:rPr>
          <w:sz w:val="24"/>
        </w:rPr>
      </w:pPr>
      <w:r>
        <w:rPr>
          <w:sz w:val="24"/>
        </w:rPr>
        <w:t>11.3.1.2  获证客户可以在有效的管理体系认证证书覆盖的领域和业务范围内以准确的文字描述认证证书中所承载的有关信息，如：“本组织（或企业）通过深圳市中盛认证有限公司的××××（即获证客户获得的 相应管理体系认证标准的名称或标准编号）管理体系认证，证书号为××××” ;</w:t>
      </w:r>
    </w:p>
    <w:p>
      <w:pPr>
        <w:spacing w:line="380" w:lineRule="exact"/>
        <w:ind w:left="714" w:leftChars="1" w:hanging="712" w:hangingChars="297"/>
        <w:rPr>
          <w:sz w:val="24"/>
        </w:rPr>
      </w:pPr>
      <w:r>
        <w:rPr>
          <w:sz w:val="24"/>
        </w:rPr>
        <w:t>11.3</w:t>
      </w:r>
      <w:r>
        <w:rPr>
          <w:rFonts w:hint="eastAsia"/>
          <w:sz w:val="24"/>
          <w:lang w:val="en-US" w:eastAsia="zh-CN"/>
        </w:rPr>
        <w:t>.1</w:t>
      </w:r>
      <w:r>
        <w:rPr>
          <w:sz w:val="24"/>
        </w:rPr>
        <w:t>.3  不得在任何资料中有关于其认证资格的误导性说明；</w:t>
      </w:r>
    </w:p>
    <w:p>
      <w:pPr>
        <w:spacing w:line="380" w:lineRule="exact"/>
        <w:ind w:left="714" w:leftChars="1" w:hanging="712" w:hangingChars="297"/>
        <w:rPr>
          <w:sz w:val="24"/>
        </w:rPr>
      </w:pPr>
      <w:r>
        <w:rPr>
          <w:sz w:val="24"/>
        </w:rPr>
        <w:t>11.3</w:t>
      </w:r>
      <w:r>
        <w:rPr>
          <w:rFonts w:hint="eastAsia"/>
          <w:sz w:val="24"/>
          <w:lang w:val="en-US" w:eastAsia="zh-CN"/>
        </w:rPr>
        <w:t>.1</w:t>
      </w:r>
      <w:r>
        <w:rPr>
          <w:sz w:val="24"/>
        </w:rPr>
        <w:t>.</w:t>
      </w:r>
      <w:r>
        <w:rPr>
          <w:rFonts w:hint="eastAsia"/>
          <w:sz w:val="24"/>
          <w:lang w:val="en-US" w:eastAsia="zh-CN"/>
        </w:rPr>
        <w:t>4</w:t>
      </w:r>
      <w:r>
        <w:rPr>
          <w:sz w:val="24"/>
        </w:rPr>
        <w:t xml:space="preserve">  不得利用管理体系认证证书和相关文字、符号， 暗示或误导公众认为认证证书覆盖范围外的管理体系、产品或服务获得中盛的认证。</w:t>
      </w:r>
    </w:p>
    <w:p>
      <w:pPr>
        <w:spacing w:line="380" w:lineRule="exact"/>
        <w:ind w:left="714" w:leftChars="1" w:hanging="712" w:hangingChars="297"/>
        <w:rPr>
          <w:sz w:val="24"/>
        </w:rPr>
      </w:pPr>
      <w:r>
        <w:rPr>
          <w:sz w:val="24"/>
        </w:rPr>
        <w:t>11.3</w:t>
      </w:r>
      <w:r>
        <w:rPr>
          <w:rFonts w:hint="eastAsia"/>
          <w:sz w:val="24"/>
          <w:lang w:val="en-US" w:eastAsia="zh-CN"/>
        </w:rPr>
        <w:t>.1.</w:t>
      </w:r>
      <w:r>
        <w:rPr>
          <w:sz w:val="24"/>
        </w:rPr>
        <w:t>5  不得擅自更改证书内容；</w:t>
      </w:r>
    </w:p>
    <w:p>
      <w:pPr>
        <w:spacing w:line="380" w:lineRule="exact"/>
        <w:ind w:left="714" w:leftChars="1" w:hanging="712" w:hangingChars="297"/>
        <w:rPr>
          <w:sz w:val="24"/>
        </w:rPr>
      </w:pPr>
      <w:r>
        <w:rPr>
          <w:sz w:val="24"/>
        </w:rPr>
        <w:t>11.3</w:t>
      </w:r>
      <w:r>
        <w:rPr>
          <w:rFonts w:hint="eastAsia"/>
          <w:sz w:val="24"/>
          <w:lang w:val="en-US" w:eastAsia="zh-CN"/>
        </w:rPr>
        <w:t>.1.6</w:t>
      </w:r>
      <w:r>
        <w:rPr>
          <w:sz w:val="24"/>
        </w:rPr>
        <w:t xml:space="preserve">  宣传认证结果时不得损害中盛的声誉和（或）使认证制度声誉受损</w:t>
      </w:r>
      <w:r>
        <w:rPr>
          <w:rFonts w:hint="eastAsia"/>
          <w:sz w:val="24"/>
          <w:lang w:eastAsia="zh-CN"/>
        </w:rPr>
        <w:t>，</w:t>
      </w:r>
      <w:r>
        <w:rPr>
          <w:sz w:val="24"/>
        </w:rPr>
        <w:t>失去公众信任；</w:t>
      </w:r>
    </w:p>
    <w:p>
      <w:pPr>
        <w:spacing w:line="380" w:lineRule="exact"/>
        <w:ind w:left="714" w:leftChars="1" w:hanging="712" w:hangingChars="297"/>
        <w:rPr>
          <w:sz w:val="24"/>
        </w:rPr>
      </w:pPr>
      <w:r>
        <w:rPr>
          <w:sz w:val="24"/>
        </w:rPr>
        <w:t>11.3</w:t>
      </w:r>
      <w:r>
        <w:rPr>
          <w:rFonts w:hint="eastAsia"/>
          <w:sz w:val="24"/>
          <w:lang w:val="en-US" w:eastAsia="zh-CN"/>
        </w:rPr>
        <w:t>.1.7</w:t>
      </w:r>
      <w:r>
        <w:rPr>
          <w:sz w:val="24"/>
        </w:rPr>
        <w:t xml:space="preserve">  不得伪造、涂改、出借、出租、转让、倒卖、部分出示、部分复印证书；</w:t>
      </w:r>
    </w:p>
    <w:p>
      <w:pPr>
        <w:spacing w:line="380" w:lineRule="exact"/>
        <w:ind w:left="714" w:leftChars="1" w:hanging="712" w:hangingChars="297"/>
        <w:rPr>
          <w:sz w:val="24"/>
        </w:rPr>
      </w:pPr>
      <w:r>
        <w:rPr>
          <w:sz w:val="24"/>
        </w:rPr>
        <w:t>11.3</w:t>
      </w:r>
      <w:r>
        <w:rPr>
          <w:rFonts w:hint="eastAsia"/>
          <w:sz w:val="24"/>
          <w:lang w:val="en-US" w:eastAsia="zh-CN"/>
        </w:rPr>
        <w:t>.1.8</w:t>
      </w:r>
      <w:r>
        <w:rPr>
          <w:sz w:val="24"/>
        </w:rPr>
        <w:t xml:space="preserve">  获证客户应妥善保管好认证证书，以免丢失、损坏。</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sz w:val="24"/>
        </w:rPr>
        <w:t>2  若获证客户的管理体系发生重大变化或发生重大事故，应及时报告中盛并接受中盛的调查或监督检查，调查前及监督检查不合格者，不得继续使用该证书；</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sz w:val="24"/>
        </w:rPr>
        <w:t>.3  在认证范围被缩小时，应及时修改所有的广告宣传材料；</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sz w:val="24"/>
        </w:rPr>
        <w:t>.4  认证证书被暂停期间，应停止使用认证证书和标志；</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sz w:val="24"/>
        </w:rPr>
        <w:t>.5  认证证书被中盛撤消或注销，获证客户应按中盛的要求将证书交还给中盛，并同时停止在文件、网站、广告和宣传资料中或广告宣传等商业活动，以及在工作场所、销售场所展示认证证书。</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sz w:val="24"/>
        </w:rPr>
        <w:t>.6  获证客户可通过登录中盛网站（</w:t>
      </w:r>
      <w:r>
        <w:rPr>
          <w:sz w:val="24"/>
        </w:rPr>
        <w:fldChar w:fldCharType="begin"/>
      </w:r>
      <w:r>
        <w:rPr>
          <w:sz w:val="24"/>
        </w:rPr>
        <w:instrText xml:space="preserve"> HYPERLINK "http://www.zs-cert.com" </w:instrText>
      </w:r>
      <w:r>
        <w:rPr>
          <w:sz w:val="24"/>
        </w:rPr>
        <w:fldChar w:fldCharType="separate"/>
      </w:r>
      <w:r>
        <w:rPr>
          <w:sz w:val="24"/>
        </w:rPr>
        <w:t>http://www.zs-cert.com</w:t>
      </w:r>
      <w:r>
        <w:rPr>
          <w:sz w:val="24"/>
        </w:rPr>
        <w:fldChar w:fldCharType="end"/>
      </w:r>
      <w:r>
        <w:rPr>
          <w:sz w:val="24"/>
        </w:rPr>
        <w:t>），从“中盛获证客户查询”中获得相关信息。</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rFonts w:hint="default"/>
          <w:sz w:val="24"/>
        </w:rPr>
        <w:t>.7</w:t>
      </w:r>
      <w:r>
        <w:rPr>
          <w:sz w:val="24"/>
        </w:rPr>
        <w:t xml:space="preserve">  认证证书的保持认证证书保持的条件：</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sz w:val="24"/>
        </w:rPr>
        <w:t xml:space="preserve">.7.1 </w:t>
      </w:r>
      <w:r>
        <w:rPr>
          <w:rFonts w:hint="eastAsia"/>
          <w:sz w:val="24"/>
          <w:lang w:val="en-US" w:eastAsia="zh-CN"/>
        </w:rPr>
        <w:t xml:space="preserve"> </w:t>
      </w:r>
      <w:r>
        <w:rPr>
          <w:sz w:val="24"/>
        </w:rPr>
        <w:t>经中盛监督审核，证实获证客户的管理体系运行正常；</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sz w:val="24"/>
        </w:rPr>
        <w:t xml:space="preserve">.7.2 </w:t>
      </w:r>
      <w:r>
        <w:rPr>
          <w:rFonts w:hint="eastAsia"/>
          <w:sz w:val="24"/>
          <w:lang w:val="en-US" w:eastAsia="zh-CN"/>
        </w:rPr>
        <w:t xml:space="preserve"> </w:t>
      </w:r>
      <w:r>
        <w:rPr>
          <w:sz w:val="24"/>
        </w:rPr>
        <w:t>确认获证客户能够按规定正确使用认证证书和标志，对由于未按规定正确使用认证证书和标志所产生的不良影响和后果，采取了有效的纠正措施。</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sz w:val="24"/>
        </w:rPr>
        <w:t xml:space="preserve">.8 </w:t>
      </w:r>
      <w:r>
        <w:rPr>
          <w:rFonts w:hint="eastAsia"/>
          <w:sz w:val="24"/>
          <w:lang w:val="en-US" w:eastAsia="zh-CN"/>
        </w:rPr>
        <w:t xml:space="preserve"> </w:t>
      </w:r>
      <w:r>
        <w:rPr>
          <w:sz w:val="24"/>
        </w:rPr>
        <w:t>认证证书的更换</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rFonts w:hint="default"/>
          <w:sz w:val="24"/>
        </w:rPr>
        <w:t>.8.1</w:t>
      </w:r>
      <w:r>
        <w:rPr>
          <w:sz w:val="24"/>
        </w:rPr>
        <w:t xml:space="preserve"> 在认证证书有效期内，有下列情况之一时，认证证书的持有者应办理更换证书的手续：</w:t>
      </w:r>
    </w:p>
    <w:p>
      <w:pPr>
        <w:spacing w:line="380" w:lineRule="exact"/>
        <w:ind w:left="714" w:leftChars="1" w:hanging="712" w:hangingChars="297"/>
        <w:rPr>
          <w:sz w:val="24"/>
        </w:rPr>
      </w:pPr>
      <w:r>
        <w:rPr>
          <w:sz w:val="24"/>
        </w:rPr>
        <w:t>a) 认证标准变更；</w:t>
      </w:r>
    </w:p>
    <w:p>
      <w:pPr>
        <w:spacing w:line="380" w:lineRule="exact"/>
        <w:ind w:left="714" w:leftChars="1" w:hanging="712" w:hangingChars="297"/>
        <w:rPr>
          <w:sz w:val="24"/>
        </w:rPr>
      </w:pPr>
      <w:r>
        <w:rPr>
          <w:sz w:val="24"/>
        </w:rPr>
        <w:t>b) 获证客户相关信息变更（含客户名称、地址、邮编、认证范围、客户规模等）</w:t>
      </w:r>
      <w:r>
        <w:rPr>
          <w:rFonts w:hint="eastAsia"/>
          <w:sz w:val="24"/>
          <w:lang w:val="en-US" w:eastAsia="zh-CN"/>
        </w:rPr>
        <w:t xml:space="preserve"> </w:t>
      </w:r>
      <w:r>
        <w:rPr>
          <w:sz w:val="24"/>
        </w:rPr>
        <w:t>；</w:t>
      </w:r>
    </w:p>
    <w:p>
      <w:pPr>
        <w:spacing w:line="380" w:lineRule="exact"/>
        <w:ind w:left="714" w:leftChars="1" w:hanging="712" w:hangingChars="297"/>
        <w:rPr>
          <w:sz w:val="24"/>
        </w:rPr>
      </w:pPr>
      <w:r>
        <w:rPr>
          <w:sz w:val="24"/>
        </w:rPr>
        <w:t>c) 其他。</w:t>
      </w:r>
    </w:p>
    <w:p>
      <w:pPr>
        <w:spacing w:line="380" w:lineRule="exact"/>
        <w:ind w:left="714" w:leftChars="1" w:hanging="712" w:hangingChars="297"/>
        <w:rPr>
          <w:sz w:val="24"/>
        </w:rPr>
      </w:pPr>
      <w:r>
        <w:rPr>
          <w:rFonts w:hint="eastAsia"/>
          <w:sz w:val="24"/>
          <w:lang w:val="en-US" w:eastAsia="zh-CN"/>
        </w:rPr>
        <w:t>1</w:t>
      </w:r>
      <w:r>
        <w:rPr>
          <w:sz w:val="24"/>
        </w:rPr>
        <w:t>1.</w:t>
      </w:r>
      <w:r>
        <w:rPr>
          <w:rFonts w:hint="eastAsia"/>
          <w:sz w:val="24"/>
          <w:lang w:val="en-US" w:eastAsia="zh-CN"/>
        </w:rPr>
        <w:t>3</w:t>
      </w:r>
      <w:r>
        <w:rPr>
          <w:sz w:val="24"/>
        </w:rPr>
        <w:t>.8.2  获证客户应提出书面的换证申请，说明理由并附上相关资料和换证所需的款项，交中盛</w:t>
      </w:r>
      <w:r>
        <w:rPr>
          <w:rFonts w:hint="eastAsia"/>
          <w:sz w:val="24"/>
          <w:lang w:eastAsia="zh-CN"/>
        </w:rPr>
        <w:t>运营部</w:t>
      </w:r>
      <w:r>
        <w:rPr>
          <w:sz w:val="24"/>
        </w:rPr>
        <w:t>及</w:t>
      </w:r>
      <w:r>
        <w:rPr>
          <w:rFonts w:hint="eastAsia"/>
          <w:sz w:val="24"/>
          <w:lang w:eastAsia="zh-CN"/>
        </w:rPr>
        <w:t>财务部</w:t>
      </w:r>
      <w:r>
        <w:rPr>
          <w:sz w:val="24"/>
        </w:rPr>
        <w:t>。</w:t>
      </w:r>
    </w:p>
    <w:p>
      <w:pPr>
        <w:spacing w:line="380" w:lineRule="exact"/>
        <w:ind w:left="714" w:leftChars="1" w:hanging="712" w:hangingChars="297"/>
        <w:rPr>
          <w:sz w:val="24"/>
        </w:rPr>
      </w:pPr>
      <w:r>
        <w:rPr>
          <w:rFonts w:hint="eastAsia"/>
          <w:sz w:val="24"/>
          <w:lang w:val="en-US" w:eastAsia="zh-CN"/>
        </w:rPr>
        <w:t>11.4</w:t>
      </w:r>
      <w:r>
        <w:rPr>
          <w:sz w:val="24"/>
        </w:rPr>
        <w:t xml:space="preserve">  认证标志的使用</w:t>
      </w:r>
    </w:p>
    <w:p>
      <w:pPr>
        <w:spacing w:line="380" w:lineRule="exact"/>
        <w:ind w:left="714" w:leftChars="1" w:hanging="712" w:hangingChars="297"/>
        <w:rPr>
          <w:sz w:val="24"/>
        </w:rPr>
      </w:pPr>
      <w:r>
        <w:rPr>
          <w:rFonts w:hint="eastAsia"/>
          <w:sz w:val="24"/>
          <w:lang w:val="en-US" w:eastAsia="zh-CN"/>
        </w:rPr>
        <w:t>11.4</w:t>
      </w:r>
      <w:r>
        <w:rPr>
          <w:sz w:val="24"/>
        </w:rPr>
        <w:t>.1  使用中盛的认证标志，需向中盛提出申请，在使用时，其图案必须按照中盛提供的图案的比例放大或缩小，并且做到颜色一致(认证标志可从中盛网站下载)。</w:t>
      </w:r>
    </w:p>
    <w:p>
      <w:pPr>
        <w:spacing w:line="380" w:lineRule="exact"/>
        <w:ind w:left="714" w:leftChars="1" w:hanging="712" w:hangingChars="297"/>
        <w:rPr>
          <w:sz w:val="24"/>
        </w:rPr>
      </w:pPr>
      <w:r>
        <w:rPr>
          <w:rFonts w:hint="eastAsia"/>
          <w:sz w:val="24"/>
          <w:lang w:val="en-US" w:eastAsia="zh-CN"/>
        </w:rPr>
        <w:t>11.4.</w:t>
      </w:r>
      <w:r>
        <w:rPr>
          <w:sz w:val="24"/>
        </w:rPr>
        <w:t>2  可将标志使用在运输产品的大箱子（等）上和用作广告宣传的小册子（等）中。</w:t>
      </w:r>
    </w:p>
    <w:p>
      <w:pPr>
        <w:spacing w:line="380" w:lineRule="exact"/>
        <w:ind w:left="714" w:leftChars="1" w:hanging="712" w:hangingChars="297"/>
        <w:rPr>
          <w:sz w:val="24"/>
        </w:rPr>
      </w:pPr>
      <w:r>
        <w:rPr>
          <w:rFonts w:hint="eastAsia"/>
          <w:sz w:val="24"/>
          <w:lang w:val="en-US" w:eastAsia="zh-CN"/>
        </w:rPr>
        <w:t>11.4.</w:t>
      </w:r>
      <w:r>
        <w:rPr>
          <w:sz w:val="24"/>
        </w:rPr>
        <w:t>3  标志不应用于产品或消费者所见的产品包装之上，或以任何其它可解释为表示产品符合性的方式使用。</w:t>
      </w:r>
    </w:p>
    <w:p>
      <w:pPr>
        <w:spacing w:line="380" w:lineRule="exact"/>
        <w:ind w:left="714" w:leftChars="1" w:hanging="712" w:hangingChars="297"/>
        <w:rPr>
          <w:sz w:val="24"/>
        </w:rPr>
      </w:pPr>
      <w:r>
        <w:rPr>
          <w:rFonts w:hint="eastAsia"/>
          <w:sz w:val="24"/>
          <w:lang w:val="en-US" w:eastAsia="zh-CN"/>
        </w:rPr>
        <w:t>11</w:t>
      </w:r>
      <w:r>
        <w:rPr>
          <w:sz w:val="24"/>
        </w:rPr>
        <w:t>.</w:t>
      </w:r>
      <w:r>
        <w:rPr>
          <w:rFonts w:hint="eastAsia"/>
          <w:sz w:val="24"/>
          <w:lang w:val="en-US" w:eastAsia="zh-CN"/>
        </w:rPr>
        <w:t>5</w:t>
      </w:r>
      <w:r>
        <w:rPr>
          <w:sz w:val="24"/>
        </w:rPr>
        <w:t xml:space="preserve">  认证标志的式样：</w:t>
      </w:r>
    </w:p>
    <w:p>
      <w:pPr>
        <w:spacing w:line="380" w:lineRule="exact"/>
        <w:ind w:left="714" w:leftChars="1" w:hanging="712" w:hangingChars="297"/>
        <w:rPr>
          <w:rFonts w:ascii="宋体" w:hAnsi="宋体" w:eastAsia="宋体" w:cs="宋体"/>
          <w:spacing w:val="-1"/>
          <w:sz w:val="21"/>
          <w:szCs w:val="21"/>
        </w:rPr>
      </w:pPr>
      <w:r>
        <w:rPr>
          <w:sz w:val="24"/>
        </w:rPr>
        <w:t>认证标志如下图所示：</w:t>
      </w:r>
    </w:p>
    <w:p>
      <w:pPr>
        <w:pStyle w:val="13"/>
        <w:keepNext w:val="0"/>
        <w:keepLines w:val="0"/>
        <w:pageBreakBefore w:val="0"/>
        <w:kinsoku/>
        <w:wordWrap/>
        <w:overflowPunct/>
        <w:topLinePunct w:val="0"/>
        <w:autoSpaceDE/>
        <w:autoSpaceDN/>
        <w:bidi w:val="0"/>
        <w:snapToGrid/>
        <w:spacing w:line="289" w:lineRule="auto"/>
        <w:ind w:left="15" w:leftChars="7" w:right="6" w:rightChars="3" w:firstLine="2" w:firstLineChars="1"/>
        <w:textAlignment w:val="auto"/>
        <w:rPr>
          <w:sz w:val="21"/>
          <w:szCs w:val="21"/>
        </w:rPr>
      </w:pPr>
    </w:p>
    <w:p>
      <w:pPr>
        <w:pStyle w:val="13"/>
        <w:keepNext w:val="0"/>
        <w:keepLines w:val="0"/>
        <w:pageBreakBefore w:val="0"/>
        <w:kinsoku/>
        <w:wordWrap/>
        <w:overflowPunct/>
        <w:topLinePunct w:val="0"/>
        <w:autoSpaceDE/>
        <w:autoSpaceDN/>
        <w:bidi w:val="0"/>
        <w:snapToGrid/>
        <w:spacing w:line="289" w:lineRule="auto"/>
        <w:ind w:left="15" w:leftChars="7" w:right="6" w:rightChars="3" w:firstLine="2" w:firstLineChars="1"/>
        <w:textAlignment w:val="auto"/>
        <w:rPr>
          <w:rFonts w:hint="eastAsia" w:eastAsia="宋体"/>
          <w:sz w:val="21"/>
          <w:szCs w:val="21"/>
          <w:lang w:eastAsia="zh-CN"/>
        </w:rPr>
      </w:pPr>
      <w:r>
        <w:rPr>
          <w:rFonts w:hint="eastAsia" w:eastAsia="宋体"/>
          <w:sz w:val="21"/>
          <w:szCs w:val="21"/>
          <w:lang w:eastAsia="zh-CN"/>
        </w:rPr>
        <w:drawing>
          <wp:anchor distT="0" distB="0" distL="114300" distR="114300" simplePos="0" relativeHeight="251672576" behindDoc="0" locked="0" layoutInCell="1" allowOverlap="1">
            <wp:simplePos x="0" y="0"/>
            <wp:positionH relativeFrom="column">
              <wp:posOffset>1753870</wp:posOffset>
            </wp:positionH>
            <wp:positionV relativeFrom="paragraph">
              <wp:posOffset>1143000</wp:posOffset>
            </wp:positionV>
            <wp:extent cx="1100455" cy="1045210"/>
            <wp:effectExtent l="0" t="0" r="4445" b="8890"/>
            <wp:wrapNone/>
            <wp:docPr id="13" name="图片 13" descr="27922中盛认证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7922中盛认证标"/>
                    <pic:cNvPicPr>
                      <a:picLocks noChangeAspect="1"/>
                    </pic:cNvPicPr>
                  </pic:nvPicPr>
                  <pic:blipFill>
                    <a:blip r:embed="rId9"/>
                    <a:stretch>
                      <a:fillRect/>
                    </a:stretch>
                  </pic:blipFill>
                  <pic:spPr>
                    <a:xfrm>
                      <a:off x="0" y="0"/>
                      <a:ext cx="1100455" cy="1045210"/>
                    </a:xfrm>
                    <a:prstGeom prst="rect">
                      <a:avLst/>
                    </a:prstGeom>
                  </pic:spPr>
                </pic:pic>
              </a:graphicData>
            </a:graphic>
          </wp:anchor>
        </w:drawing>
      </w:r>
      <w:r>
        <w:rPr>
          <w:rFonts w:hint="eastAsia" w:eastAsia="宋体"/>
          <w:sz w:val="21"/>
          <w:szCs w:val="21"/>
          <w:lang w:eastAsia="zh-CN"/>
        </w:rPr>
        <w:drawing>
          <wp:anchor distT="0" distB="0" distL="114300" distR="114300" simplePos="0" relativeHeight="251673600" behindDoc="0" locked="0" layoutInCell="1" allowOverlap="1">
            <wp:simplePos x="0" y="0"/>
            <wp:positionH relativeFrom="column">
              <wp:posOffset>497840</wp:posOffset>
            </wp:positionH>
            <wp:positionV relativeFrom="paragraph">
              <wp:posOffset>1145540</wp:posOffset>
            </wp:positionV>
            <wp:extent cx="1100455" cy="1042670"/>
            <wp:effectExtent l="0" t="0" r="4445" b="11430"/>
            <wp:wrapNone/>
            <wp:docPr id="17" name="图片 17" descr="SA8000认证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A8000认证标"/>
                    <pic:cNvPicPr>
                      <a:picLocks noChangeAspect="1"/>
                    </pic:cNvPicPr>
                  </pic:nvPicPr>
                  <pic:blipFill>
                    <a:blip r:embed="rId10"/>
                    <a:stretch>
                      <a:fillRect/>
                    </a:stretch>
                  </pic:blipFill>
                  <pic:spPr>
                    <a:xfrm>
                      <a:off x="0" y="0"/>
                      <a:ext cx="1100455" cy="1042670"/>
                    </a:xfrm>
                    <a:prstGeom prst="rect">
                      <a:avLst/>
                    </a:prstGeom>
                  </pic:spPr>
                </pic:pic>
              </a:graphicData>
            </a:graphic>
          </wp:anchor>
        </w:drawing>
      </w:r>
      <w:r>
        <w:rPr>
          <w:rFonts w:hint="eastAsia" w:eastAsia="宋体"/>
          <w:sz w:val="21"/>
          <w:szCs w:val="21"/>
          <w:lang w:eastAsia="zh-CN"/>
        </w:rPr>
        <w:drawing>
          <wp:inline distT="0" distB="0" distL="114300" distR="114300">
            <wp:extent cx="1100455" cy="1045210"/>
            <wp:effectExtent l="0" t="0" r="4445" b="8890"/>
            <wp:docPr id="19" name="图片 19" descr="9001中盛认证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001中盛认证标"/>
                    <pic:cNvPicPr>
                      <a:picLocks noChangeAspect="1"/>
                    </pic:cNvPicPr>
                  </pic:nvPicPr>
                  <pic:blipFill>
                    <a:blip r:embed="rId11"/>
                    <a:stretch>
                      <a:fillRect/>
                    </a:stretch>
                  </pic:blipFill>
                  <pic:spPr>
                    <a:xfrm>
                      <a:off x="0" y="0"/>
                      <a:ext cx="1100455" cy="1045210"/>
                    </a:xfrm>
                    <a:prstGeom prst="rect">
                      <a:avLst/>
                    </a:prstGeom>
                  </pic:spPr>
                </pic:pic>
              </a:graphicData>
            </a:graphic>
          </wp:inline>
        </w:drawing>
      </w:r>
      <w:r>
        <w:rPr>
          <w:rFonts w:hint="eastAsia" w:eastAsia="宋体"/>
          <w:sz w:val="21"/>
          <w:szCs w:val="21"/>
          <w:lang w:eastAsia="zh-CN"/>
        </w:rPr>
        <w:drawing>
          <wp:inline distT="0" distB="0" distL="114300" distR="114300">
            <wp:extent cx="1103630" cy="1045210"/>
            <wp:effectExtent l="0" t="0" r="1270" b="8890"/>
            <wp:docPr id="20" name="图片 20" descr="14001中盛认证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4001中盛认证标"/>
                    <pic:cNvPicPr>
                      <a:picLocks noChangeAspect="1"/>
                    </pic:cNvPicPr>
                  </pic:nvPicPr>
                  <pic:blipFill>
                    <a:blip r:embed="rId12"/>
                    <a:stretch>
                      <a:fillRect/>
                    </a:stretch>
                  </pic:blipFill>
                  <pic:spPr>
                    <a:xfrm>
                      <a:off x="0" y="0"/>
                      <a:ext cx="1103630" cy="1045210"/>
                    </a:xfrm>
                    <a:prstGeom prst="rect">
                      <a:avLst/>
                    </a:prstGeom>
                  </pic:spPr>
                </pic:pic>
              </a:graphicData>
            </a:graphic>
          </wp:inline>
        </w:drawing>
      </w:r>
      <w:r>
        <w:rPr>
          <w:rFonts w:hint="eastAsia" w:eastAsia="宋体"/>
          <w:sz w:val="21"/>
          <w:szCs w:val="21"/>
          <w:lang w:eastAsia="zh-CN"/>
        </w:rPr>
        <w:drawing>
          <wp:inline distT="0" distB="0" distL="114300" distR="114300">
            <wp:extent cx="1100455" cy="1045210"/>
            <wp:effectExtent l="0" t="0" r="4445" b="8890"/>
            <wp:docPr id="21" name="图片 21" descr="45001中盛认证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5001中盛认证标"/>
                    <pic:cNvPicPr>
                      <a:picLocks noChangeAspect="1"/>
                    </pic:cNvPicPr>
                  </pic:nvPicPr>
                  <pic:blipFill>
                    <a:blip r:embed="rId13"/>
                    <a:stretch>
                      <a:fillRect/>
                    </a:stretch>
                  </pic:blipFill>
                  <pic:spPr>
                    <a:xfrm>
                      <a:off x="0" y="0"/>
                      <a:ext cx="1100455" cy="1045210"/>
                    </a:xfrm>
                    <a:prstGeom prst="rect">
                      <a:avLst/>
                    </a:prstGeom>
                  </pic:spPr>
                </pic:pic>
              </a:graphicData>
            </a:graphic>
          </wp:inline>
        </w:drawing>
      </w:r>
      <w:r>
        <w:rPr>
          <w:rFonts w:hint="eastAsia" w:eastAsia="宋体"/>
          <w:sz w:val="21"/>
          <w:szCs w:val="21"/>
          <w:lang w:eastAsia="zh-CN"/>
        </w:rPr>
        <w:drawing>
          <wp:inline distT="0" distB="0" distL="114300" distR="114300">
            <wp:extent cx="1100455" cy="1045210"/>
            <wp:effectExtent l="0" t="0" r="4445" b="8890"/>
            <wp:docPr id="22" name="图片 22" descr="13485中盛认证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3485中盛认证标"/>
                    <pic:cNvPicPr>
                      <a:picLocks noChangeAspect="1"/>
                    </pic:cNvPicPr>
                  </pic:nvPicPr>
                  <pic:blipFill>
                    <a:blip r:embed="rId14"/>
                    <a:stretch>
                      <a:fillRect/>
                    </a:stretch>
                  </pic:blipFill>
                  <pic:spPr>
                    <a:xfrm>
                      <a:off x="0" y="0"/>
                      <a:ext cx="1100455" cy="1045210"/>
                    </a:xfrm>
                    <a:prstGeom prst="rect">
                      <a:avLst/>
                    </a:prstGeom>
                  </pic:spPr>
                </pic:pic>
              </a:graphicData>
            </a:graphic>
          </wp:inline>
        </w:drawing>
      </w:r>
      <w:r>
        <w:rPr>
          <w:rFonts w:hint="eastAsia" w:eastAsia="宋体"/>
          <w:sz w:val="21"/>
          <w:szCs w:val="21"/>
          <w:lang w:eastAsia="zh-CN"/>
        </w:rPr>
        <w:drawing>
          <wp:inline distT="0" distB="0" distL="114300" distR="114300">
            <wp:extent cx="1100455" cy="1045210"/>
            <wp:effectExtent l="0" t="0" r="4445" b="8890"/>
            <wp:docPr id="23" name="图片 23" descr="080000中盛认证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80000中盛认证标"/>
                    <pic:cNvPicPr>
                      <a:picLocks noChangeAspect="1"/>
                    </pic:cNvPicPr>
                  </pic:nvPicPr>
                  <pic:blipFill>
                    <a:blip r:embed="rId15"/>
                    <a:stretch>
                      <a:fillRect/>
                    </a:stretch>
                  </pic:blipFill>
                  <pic:spPr>
                    <a:xfrm>
                      <a:off x="0" y="0"/>
                      <a:ext cx="1100455" cy="1045210"/>
                    </a:xfrm>
                    <a:prstGeom prst="rect">
                      <a:avLst/>
                    </a:prstGeom>
                  </pic:spPr>
                </pic:pic>
              </a:graphicData>
            </a:graphic>
          </wp:inline>
        </w:drawing>
      </w:r>
    </w:p>
    <w:p>
      <w:pPr>
        <w:keepNext w:val="0"/>
        <w:keepLines w:val="0"/>
        <w:pageBreakBefore w:val="0"/>
        <w:kinsoku/>
        <w:wordWrap/>
        <w:overflowPunct/>
        <w:topLinePunct w:val="0"/>
        <w:autoSpaceDE/>
        <w:autoSpaceDN/>
        <w:bidi w:val="0"/>
        <w:snapToGrid/>
        <w:spacing w:line="1646" w:lineRule="exact"/>
        <w:ind w:left="15" w:leftChars="7" w:right="6" w:rightChars="3" w:firstLine="2" w:firstLineChars="1"/>
        <w:textAlignment w:val="auto"/>
        <w:rPr>
          <w:sz w:val="21"/>
          <w:szCs w:val="21"/>
        </w:rPr>
      </w:pPr>
      <w:r>
        <w:rPr>
          <w:rFonts w:hint="eastAsia" w:eastAsia="宋体"/>
          <w:sz w:val="21"/>
          <w:szCs w:val="21"/>
          <w:lang w:eastAsia="zh-CN"/>
        </w:rPr>
        <w:drawing>
          <wp:anchor distT="0" distB="0" distL="114300" distR="114300" simplePos="0" relativeHeight="251671552" behindDoc="0" locked="0" layoutInCell="1" allowOverlap="1">
            <wp:simplePos x="0" y="0"/>
            <wp:positionH relativeFrom="column">
              <wp:posOffset>2925445</wp:posOffset>
            </wp:positionH>
            <wp:positionV relativeFrom="paragraph">
              <wp:posOffset>12065</wp:posOffset>
            </wp:positionV>
            <wp:extent cx="1100455" cy="1045210"/>
            <wp:effectExtent l="0" t="0" r="4445" b="8890"/>
            <wp:wrapNone/>
            <wp:docPr id="18" name="图片 18" descr="31950中盛认证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1950中盛认证标"/>
                    <pic:cNvPicPr>
                      <a:picLocks noChangeAspect="1"/>
                    </pic:cNvPicPr>
                  </pic:nvPicPr>
                  <pic:blipFill>
                    <a:blip r:embed="rId16"/>
                    <a:stretch>
                      <a:fillRect/>
                    </a:stretch>
                  </pic:blipFill>
                  <pic:spPr>
                    <a:xfrm>
                      <a:off x="0" y="0"/>
                      <a:ext cx="1100455" cy="1045210"/>
                    </a:xfrm>
                    <a:prstGeom prst="rect">
                      <a:avLst/>
                    </a:prstGeom>
                  </pic:spPr>
                </pic:pic>
              </a:graphicData>
            </a:graphic>
          </wp:anchor>
        </w:drawing>
      </w:r>
    </w:p>
    <w:p>
      <w:pPr>
        <w:pStyle w:val="13"/>
        <w:keepNext w:val="0"/>
        <w:keepLines w:val="0"/>
        <w:pageBreakBefore w:val="0"/>
        <w:kinsoku/>
        <w:wordWrap/>
        <w:overflowPunct/>
        <w:topLinePunct w:val="0"/>
        <w:autoSpaceDE/>
        <w:autoSpaceDN/>
        <w:bidi w:val="0"/>
        <w:snapToGrid/>
        <w:spacing w:line="270" w:lineRule="auto"/>
        <w:ind w:left="15" w:leftChars="7" w:right="6" w:rightChars="3" w:firstLine="2" w:firstLineChars="1"/>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before="68" w:line="269" w:lineRule="auto"/>
        <w:ind w:right="6" w:rightChars="3"/>
        <w:textAlignment w:val="auto"/>
        <w:rPr>
          <w:rFonts w:ascii="宋体" w:hAnsi="宋体" w:eastAsia="宋体" w:cs="宋体"/>
          <w:sz w:val="21"/>
          <w:szCs w:val="21"/>
        </w:rPr>
      </w:pPr>
      <w:r>
        <w:rPr>
          <w:rFonts w:hint="eastAsia" w:cs="Times New Roman"/>
          <w:spacing w:val="-1"/>
          <w:position w:val="11"/>
          <w:sz w:val="21"/>
          <w:szCs w:val="21"/>
          <w:lang w:val="en-US" w:eastAsia="zh-CN"/>
        </w:rPr>
        <w:t>11.6</w:t>
      </w:r>
      <w:r>
        <w:rPr>
          <w:rFonts w:ascii="Times New Roman" w:hAnsi="Times New Roman" w:eastAsia="Times New Roman" w:cs="Times New Roman"/>
          <w:spacing w:val="-1"/>
          <w:position w:val="11"/>
          <w:sz w:val="21"/>
          <w:szCs w:val="21"/>
        </w:rPr>
        <w:t xml:space="preserve">  </w:t>
      </w:r>
      <w:r>
        <w:rPr>
          <w:rFonts w:ascii="宋体" w:hAnsi="宋体" w:eastAsia="宋体" w:cs="宋体"/>
          <w:spacing w:val="-1"/>
          <w:position w:val="11"/>
          <w:sz w:val="21"/>
          <w:szCs w:val="21"/>
        </w:rPr>
        <w:t>认证证书和标志的使用和示例</w:t>
      </w:r>
    </w:p>
    <w:p>
      <w:pPr>
        <w:keepNext w:val="0"/>
        <w:keepLines w:val="0"/>
        <w:pageBreakBefore w:val="0"/>
        <w:widowControl w:val="0"/>
        <w:kinsoku/>
        <w:wordWrap/>
        <w:overflowPunct/>
        <w:topLinePunct w:val="0"/>
        <w:autoSpaceDE/>
        <w:autoSpaceDN/>
        <w:bidi w:val="0"/>
        <w:adjustRightInd/>
        <w:snapToGrid/>
        <w:spacing w:line="269" w:lineRule="auto"/>
        <w:ind w:left="15" w:leftChars="7" w:right="6" w:rightChars="3" w:firstLine="2" w:firstLineChars="1"/>
        <w:textAlignment w:val="auto"/>
        <w:rPr>
          <w:rFonts w:ascii="宋体" w:hAnsi="宋体" w:eastAsia="宋体" w:cs="宋体"/>
          <w:sz w:val="21"/>
          <w:szCs w:val="21"/>
        </w:rPr>
      </w:pPr>
      <w:r>
        <w:rPr>
          <w:rFonts w:ascii="Times New Roman" w:hAnsi="Times New Roman" w:eastAsia="Times New Roman" w:cs="Times New Roman"/>
          <w:spacing w:val="-2"/>
          <w:sz w:val="21"/>
          <w:szCs w:val="21"/>
        </w:rPr>
        <w:t>a)</w:t>
      </w:r>
      <w:r>
        <w:rPr>
          <w:rFonts w:ascii="Times New Roman" w:hAnsi="Times New Roman" w:eastAsia="Times New Roman" w:cs="Times New Roman"/>
          <w:spacing w:val="41"/>
          <w:sz w:val="21"/>
          <w:szCs w:val="21"/>
        </w:rPr>
        <w:t xml:space="preserve"> </w:t>
      </w:r>
      <w:r>
        <w:rPr>
          <w:rFonts w:ascii="宋体" w:hAnsi="宋体" w:eastAsia="宋体" w:cs="宋体"/>
          <w:spacing w:val="-2"/>
          <w:sz w:val="21"/>
          <w:szCs w:val="21"/>
        </w:rPr>
        <w:t>认证标志的使用示例</w:t>
      </w:r>
    </w:p>
    <w:p>
      <w:pPr>
        <w:keepNext w:val="0"/>
        <w:keepLines w:val="0"/>
        <w:pageBreakBefore w:val="0"/>
        <w:kinsoku/>
        <w:wordWrap/>
        <w:overflowPunct/>
        <w:topLinePunct w:val="0"/>
        <w:autoSpaceDE/>
        <w:autoSpaceDN/>
        <w:bidi w:val="0"/>
        <w:snapToGrid/>
        <w:spacing w:line="65" w:lineRule="exact"/>
        <w:ind w:left="15" w:leftChars="7" w:right="6" w:rightChars="3" w:firstLine="2" w:firstLineChars="1"/>
        <w:textAlignment w:val="auto"/>
        <w:rPr>
          <w:sz w:val="21"/>
          <w:szCs w:val="21"/>
        </w:rPr>
      </w:pPr>
    </w:p>
    <w:tbl>
      <w:tblPr>
        <w:tblStyle w:val="81"/>
        <w:tblW w:w="94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4"/>
        <w:gridCol w:w="1229"/>
        <w:gridCol w:w="1459"/>
        <w:gridCol w:w="2934"/>
        <w:gridCol w:w="24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2663" w:type="dxa"/>
            <w:gridSpan w:val="2"/>
            <w:tcBorders>
              <w:right w:val="single" w:color="000000" w:sz="4" w:space="0"/>
            </w:tcBorders>
            <w:vAlign w:val="top"/>
            <mc:AlternateContent>
              <mc:Choice Requires="wpsCustomData">
                <wpsCustomData:diagonals>
                  <wpsCustomData:diagonal from="10000" to="30000">
                    <wpsCustomData:border w:val="single" w:color="000000" w:sz="2" w:space="0"/>
                  </wpsCustomData:diagonal>
                </wpsCustomData:diagonals>
              </mc:Choice>
            </mc:AlternateContent>
          </w:tcPr>
          <w:p>
            <w:pPr>
              <w:pStyle w:val="80"/>
              <w:keepNext w:val="0"/>
              <w:keepLines w:val="0"/>
              <w:pageBreakBefore w:val="0"/>
              <w:kinsoku/>
              <w:wordWrap/>
              <w:overflowPunct/>
              <w:topLinePunct w:val="0"/>
              <w:autoSpaceDE/>
              <w:autoSpaceDN/>
              <w:bidi w:val="0"/>
              <w:snapToGrid w:val="0"/>
              <w:spacing w:before="274" w:line="221" w:lineRule="auto"/>
              <w:ind w:right="6" w:rightChars="3"/>
              <w:jc w:val="center"/>
              <w:textAlignment w:val="auto"/>
              <mc:AlternateContent>
                <mc:Choice Requires="wpsCustomData">
                  <wpsCustomData:diagonalParaType/>
                </mc:Choice>
              </mc:AlternateContent>
              <w:rPr>
                <w:sz w:val="21"/>
                <w:szCs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124460</wp:posOffset>
                      </wp:positionH>
                      <wp:positionV relativeFrom="paragraph">
                        <wp:posOffset>354330</wp:posOffset>
                      </wp:positionV>
                      <wp:extent cx="812800" cy="321945"/>
                      <wp:effectExtent l="0" t="0" r="0" b="0"/>
                      <wp:wrapNone/>
                      <wp:docPr id="45" name="文本框 45"/>
                      <wp:cNvGraphicFramePr/>
                      <a:graphic xmlns:a="http://schemas.openxmlformats.org/drawingml/2006/main">
                        <a:graphicData uri="http://schemas.microsoft.com/office/word/2010/wordprocessingShape">
                          <wps:wsp>
                            <wps:cNvSpPr txBox="1"/>
                            <wps:spPr>
                              <a:xfrm>
                                <a:off x="1278255" y="2615565"/>
                                <a:ext cx="812800" cy="321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使用范围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27.9pt;height:25.35pt;width:64pt;z-index:251675648;mso-width-relative:page;mso-height-relative:page;" filled="f" stroked="f" coordsize="21600,21600" o:gfxdata="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5sIE1wAAAAkBAAAPAAAAAAAAAAEA&#10;IAAAACIAAABkcnMvZG93bnJldi54bWxQSwECFAAUAAAACACHTuJABV5MQ0kCAABzBAAADgAAAAAA&#10;AAABACAAAAAm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lang w:val="en-US" w:eastAsia="zh-CN"/>
                              </w:rPr>
                              <w:t>使用范围</w:t>
                            </w:r>
                          </w:p>
                        </w:txbxContent>
                      </v:textbox>
                    </v:shape>
                  </w:pict>
                </mc:Fallback>
              </mc:AlternateContent>
            </w:r>
          </w:p>
          <w:p>
            <w:pPr>
              <w:pStyle w:val="80"/>
              <w:keepNext w:val="0"/>
              <w:keepLines w:val="0"/>
              <w:pageBreakBefore w:val="0"/>
              <w:kinsoku/>
              <w:wordWrap/>
              <w:overflowPunct/>
              <w:topLinePunct w:val="0"/>
              <w:autoSpaceDE/>
              <w:autoSpaceDN/>
              <w:bidi w:val="0"/>
              <w:snapToGrid/>
              <w:spacing w:before="274" w:line="221" w:lineRule="auto"/>
              <w:ind w:right="6" w:rightChars="3"/>
              <w:jc w:val="center"/>
              <w:textAlignment w:val="auto"/>
              <w:rPr>
                <w:sz w:val="21"/>
                <w:szCs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34290</wp:posOffset>
                      </wp:positionV>
                      <wp:extent cx="629285" cy="342265"/>
                      <wp:effectExtent l="0" t="0" r="0" b="0"/>
                      <wp:wrapNone/>
                      <wp:docPr id="44" name="文本框 44"/>
                      <wp:cNvGraphicFramePr/>
                      <a:graphic xmlns:a="http://schemas.openxmlformats.org/drawingml/2006/main">
                        <a:graphicData uri="http://schemas.microsoft.com/office/word/2010/wordprocessingShape">
                          <wps:wsp>
                            <wps:cNvSpPr txBox="1"/>
                            <wps:spPr>
                              <a:xfrm>
                                <a:off x="1915795" y="2432050"/>
                                <a:ext cx="62928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auto"/>
                                      <w:lang w:val="en-US" w:eastAsia="zh-CN"/>
                                    </w:rPr>
                                  </w:pPr>
                                  <w:r>
                                    <w:rPr>
                                      <w:rFonts w:hint="eastAsia"/>
                                      <w:color w:val="auto"/>
                                      <w:lang w:val="en-US" w:eastAsia="zh-CN"/>
                                    </w:rPr>
                                    <w:t>标志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2.7pt;height:26.95pt;width:49.55pt;z-index:251674624;mso-width-relative:page;mso-height-relative:page;" filled="f" stroked="f" coordsize="21600,21600" o:gfxdata="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T7hpm2AAAAAcBAAAPAAAAAAAAAAEAIAAA&#10;ACIAAABkcnMvZG93bnJldi54bWxQSwECFAAUAAAACACHTuJAeaQyIUUCAABzBAAADgAAAAAAAAAB&#10;ACAAAAAnAQAAZHJzL2Uyb0RvYy54bWxQSwUGAAAAAAYABgBZAQAA3gUAAAAA&#10;">
                      <v:fill on="f" focussize="0,0"/>
                      <v:stroke on="f" weight="0.5pt"/>
                      <v:imagedata o:title=""/>
                      <o:lock v:ext="edit" aspectratio="f"/>
                      <v:textbox>
                        <w:txbxContent>
                          <w:p>
                            <w:pPr>
                              <w:rPr>
                                <w:rFonts w:hint="eastAsia" w:eastAsia="宋体"/>
                                <w:color w:val="auto"/>
                                <w:lang w:val="en-US" w:eastAsia="zh-CN"/>
                              </w:rPr>
                            </w:pPr>
                            <w:r>
                              <w:rPr>
                                <w:rFonts w:hint="eastAsia"/>
                                <w:color w:val="auto"/>
                                <w:lang w:val="en-US" w:eastAsia="zh-CN"/>
                              </w:rPr>
                              <w:t>标志</w:t>
                            </w:r>
                          </w:p>
                        </w:txbxContent>
                      </v:textbox>
                    </v:shape>
                  </w:pict>
                </mc:Fallback>
              </mc:AlternateContent>
            </w:r>
          </w:p>
        </w:tc>
        <w:tc>
          <w:tcPr>
            <w:tcW w:w="1459" w:type="dxa"/>
            <w:tcBorders>
              <w:left w:val="single" w:color="000000" w:sz="4" w:space="0"/>
            </w:tcBorders>
            <w:vAlign w:val="center"/>
          </w:tcPr>
          <w:p>
            <w:pPr>
              <w:pStyle w:val="80"/>
              <w:keepNext w:val="0"/>
              <w:keepLines w:val="0"/>
              <w:pageBreakBefore w:val="0"/>
              <w:kinsoku/>
              <w:wordWrap/>
              <w:overflowPunct/>
              <w:topLinePunct w:val="0"/>
              <w:autoSpaceDE/>
              <w:autoSpaceDN/>
              <w:bidi w:val="0"/>
              <w:snapToGrid/>
              <w:spacing w:before="132" w:line="221" w:lineRule="auto"/>
              <w:ind w:right="6" w:rightChars="3"/>
              <w:jc w:val="center"/>
              <w:textAlignment w:val="auto"/>
              <w:rPr>
                <w:rFonts w:ascii="Times New Roman" w:hAnsi="Times New Roman" w:eastAsia="Times New Roman" w:cs="Times New Roman"/>
                <w:sz w:val="21"/>
                <w:szCs w:val="21"/>
              </w:rPr>
            </w:pPr>
            <w:r>
              <w:rPr>
                <w:spacing w:val="-2"/>
                <w:sz w:val="21"/>
                <w:szCs w:val="21"/>
              </w:rPr>
              <w:t>在产品上</w:t>
            </w:r>
            <w:r>
              <w:rPr>
                <w:rFonts w:ascii="Times New Roman" w:hAnsi="Times New Roman" w:eastAsia="Times New Roman" w:cs="Times New Roman"/>
                <w:spacing w:val="-2"/>
                <w:sz w:val="21"/>
                <w:szCs w:val="21"/>
              </w:rPr>
              <w:t>*1</w:t>
            </w:r>
          </w:p>
        </w:tc>
        <w:tc>
          <w:tcPr>
            <w:tcW w:w="2934" w:type="dxa"/>
            <w:vAlign w:val="center"/>
          </w:tcPr>
          <w:p>
            <w:pPr>
              <w:pStyle w:val="80"/>
              <w:keepNext w:val="0"/>
              <w:keepLines w:val="0"/>
              <w:pageBreakBefore w:val="0"/>
              <w:kinsoku/>
              <w:wordWrap/>
              <w:overflowPunct/>
              <w:topLinePunct w:val="0"/>
              <w:autoSpaceDE/>
              <w:autoSpaceDN/>
              <w:bidi w:val="0"/>
              <w:snapToGrid/>
              <w:spacing w:before="236" w:line="247" w:lineRule="auto"/>
              <w:ind w:left="15" w:leftChars="7" w:right="6" w:rightChars="3" w:firstLine="2" w:firstLineChars="1"/>
              <w:jc w:val="center"/>
              <w:textAlignment w:val="auto"/>
              <w:rPr>
                <w:rFonts w:ascii="Times New Roman" w:hAnsi="Times New Roman" w:eastAsia="Times New Roman" w:cs="Times New Roman"/>
                <w:sz w:val="21"/>
                <w:szCs w:val="21"/>
              </w:rPr>
            </w:pPr>
            <w:r>
              <w:rPr>
                <w:spacing w:val="36"/>
                <w:sz w:val="21"/>
                <w:szCs w:val="21"/>
              </w:rPr>
              <w:t>在用于运输产品的大箱子</w:t>
            </w:r>
            <w:r>
              <w:rPr>
                <w:spacing w:val="-17"/>
                <w:sz w:val="21"/>
                <w:szCs w:val="21"/>
              </w:rPr>
              <w:t>（等）</w:t>
            </w:r>
            <w:r>
              <w:rPr>
                <w:spacing w:val="-18"/>
                <w:sz w:val="21"/>
                <w:szCs w:val="21"/>
              </w:rPr>
              <w:t xml:space="preserve"> </w:t>
            </w:r>
            <w:r>
              <w:rPr>
                <w:spacing w:val="-17"/>
                <w:sz w:val="21"/>
                <w:szCs w:val="21"/>
              </w:rPr>
              <w:t>上</w:t>
            </w:r>
            <w:r>
              <w:rPr>
                <w:rFonts w:ascii="Times New Roman" w:hAnsi="Times New Roman" w:eastAsia="Times New Roman" w:cs="Times New Roman"/>
                <w:spacing w:val="-17"/>
                <w:sz w:val="21"/>
                <w:szCs w:val="21"/>
              </w:rPr>
              <w:t>*2</w:t>
            </w:r>
          </w:p>
        </w:tc>
        <w:tc>
          <w:tcPr>
            <w:tcW w:w="2423" w:type="dxa"/>
            <w:vAlign w:val="center"/>
          </w:tcPr>
          <w:p>
            <w:pPr>
              <w:pStyle w:val="80"/>
              <w:keepNext w:val="0"/>
              <w:keepLines w:val="0"/>
              <w:pageBreakBefore w:val="0"/>
              <w:kinsoku/>
              <w:wordWrap/>
              <w:overflowPunct/>
              <w:topLinePunct w:val="0"/>
              <w:autoSpaceDE/>
              <w:autoSpaceDN/>
              <w:bidi w:val="0"/>
              <w:snapToGrid/>
              <w:spacing w:before="236" w:line="247" w:lineRule="auto"/>
              <w:ind w:left="15" w:leftChars="7" w:right="6" w:rightChars="3" w:firstLine="2" w:firstLineChars="1"/>
              <w:jc w:val="center"/>
              <w:textAlignment w:val="auto"/>
              <w:rPr>
                <w:sz w:val="21"/>
                <w:szCs w:val="21"/>
              </w:rPr>
            </w:pPr>
            <w:r>
              <w:rPr>
                <w:spacing w:val="33"/>
                <w:sz w:val="21"/>
                <w:szCs w:val="21"/>
              </w:rPr>
              <w:t>用作广告的小册子中</w:t>
            </w:r>
            <w:r>
              <w:rPr>
                <w:spacing w:val="-6"/>
                <w:sz w:val="21"/>
                <w:szCs w:val="21"/>
              </w:rPr>
              <w:t>（等）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434" w:type="dxa"/>
            <w:vMerge w:val="restart"/>
            <w:tcBorders>
              <w:bottom w:val="nil"/>
            </w:tcBorders>
            <w:vAlign w:val="top"/>
          </w:tcPr>
          <w:p>
            <w:pPr>
              <w:keepNext w:val="0"/>
              <w:keepLines w:val="0"/>
              <w:pageBreakBefore w:val="0"/>
              <w:kinsoku/>
              <w:wordWrap/>
              <w:overflowPunct/>
              <w:topLinePunct w:val="0"/>
              <w:autoSpaceDE/>
              <w:autoSpaceDN/>
              <w:bidi w:val="0"/>
              <w:snapToGrid/>
              <w:spacing w:line="405" w:lineRule="auto"/>
              <w:ind w:left="15" w:leftChars="7" w:right="6" w:rightChars="3" w:firstLine="2" w:firstLineChars="1"/>
              <w:jc w:val="center"/>
              <w:textAlignment w:val="auto"/>
              <w:rPr>
                <w:rFonts w:ascii="Arial"/>
                <w:sz w:val="21"/>
                <w:szCs w:val="21"/>
              </w:rPr>
            </w:pPr>
          </w:p>
          <w:p>
            <w:pPr>
              <w:pStyle w:val="80"/>
              <w:keepNext w:val="0"/>
              <w:keepLines w:val="0"/>
              <w:pageBreakBefore w:val="0"/>
              <w:kinsoku/>
              <w:wordWrap/>
              <w:overflowPunct/>
              <w:topLinePunct w:val="0"/>
              <w:autoSpaceDE/>
              <w:autoSpaceDN/>
              <w:bidi w:val="0"/>
              <w:snapToGrid/>
              <w:spacing w:before="69" w:line="217" w:lineRule="auto"/>
              <w:ind w:left="15" w:leftChars="7" w:right="6" w:rightChars="3" w:firstLine="1" w:firstLineChars="1"/>
              <w:jc w:val="center"/>
              <w:textAlignment w:val="auto"/>
              <w:rPr>
                <w:rFonts w:ascii="Times New Roman" w:hAnsi="Times New Roman" w:eastAsia="Times New Roman" w:cs="Times New Roman"/>
                <w:sz w:val="21"/>
                <w:szCs w:val="21"/>
              </w:rPr>
            </w:pPr>
            <w:r>
              <w:rPr>
                <w:spacing w:val="-14"/>
                <w:sz w:val="21"/>
                <w:szCs w:val="21"/>
              </w:rPr>
              <w:t>标</w:t>
            </w:r>
            <w:r>
              <w:rPr>
                <w:spacing w:val="-27"/>
                <w:sz w:val="21"/>
                <w:szCs w:val="21"/>
              </w:rPr>
              <w:t xml:space="preserve"> </w:t>
            </w:r>
            <w:r>
              <w:rPr>
                <w:spacing w:val="-14"/>
                <w:sz w:val="21"/>
                <w:szCs w:val="21"/>
              </w:rPr>
              <w:t>志</w:t>
            </w:r>
            <w:r>
              <w:rPr>
                <w:spacing w:val="-20"/>
                <w:sz w:val="21"/>
                <w:szCs w:val="21"/>
              </w:rPr>
              <w:t xml:space="preserve"> </w:t>
            </w:r>
            <w:r>
              <w:rPr>
                <w:spacing w:val="-14"/>
                <w:sz w:val="21"/>
                <w:szCs w:val="21"/>
              </w:rPr>
              <w:t>的</w:t>
            </w:r>
            <w:r>
              <w:rPr>
                <w:spacing w:val="-34"/>
                <w:sz w:val="21"/>
                <w:szCs w:val="21"/>
              </w:rPr>
              <w:t xml:space="preserve"> </w:t>
            </w:r>
            <w:r>
              <w:rPr>
                <w:spacing w:val="-14"/>
                <w:sz w:val="21"/>
                <w:szCs w:val="21"/>
              </w:rPr>
              <w:t>使</w:t>
            </w:r>
            <w:r>
              <w:rPr>
                <w:rFonts w:hint="eastAsia"/>
                <w:spacing w:val="-14"/>
                <w:sz w:val="21"/>
                <w:szCs w:val="21"/>
                <w:lang w:val="en-US" w:eastAsia="zh-CN"/>
              </w:rPr>
              <w:t xml:space="preserve"> </w:t>
            </w:r>
            <w:r>
              <w:rPr>
                <w:spacing w:val="-4"/>
                <w:sz w:val="21"/>
                <w:szCs w:val="21"/>
              </w:rPr>
              <w:t>用</w:t>
            </w:r>
            <w:r>
              <w:rPr>
                <w:rFonts w:ascii="Times New Roman" w:hAnsi="Times New Roman" w:eastAsia="Times New Roman" w:cs="Times New Roman"/>
                <w:spacing w:val="-4"/>
                <w:sz w:val="21"/>
                <w:szCs w:val="21"/>
              </w:rPr>
              <w:t>*3</w:t>
            </w:r>
          </w:p>
        </w:tc>
        <w:tc>
          <w:tcPr>
            <w:tcW w:w="1229" w:type="dxa"/>
            <w:tcBorders>
              <w:right w:val="single" w:color="000000" w:sz="4" w:space="0"/>
            </w:tcBorders>
            <w:vAlign w:val="top"/>
          </w:tcPr>
          <w:p>
            <w:pPr>
              <w:pStyle w:val="80"/>
              <w:keepNext w:val="0"/>
              <w:keepLines w:val="0"/>
              <w:pageBreakBefore w:val="0"/>
              <w:kinsoku/>
              <w:wordWrap/>
              <w:overflowPunct/>
              <w:topLinePunct w:val="0"/>
              <w:autoSpaceDE/>
              <w:autoSpaceDN/>
              <w:bidi w:val="0"/>
              <w:snapToGrid/>
              <w:spacing w:before="242" w:line="221" w:lineRule="auto"/>
              <w:ind w:left="15" w:leftChars="7" w:right="6" w:rightChars="3" w:firstLine="2" w:firstLineChars="1"/>
              <w:jc w:val="center"/>
              <w:textAlignment w:val="auto"/>
              <w:rPr>
                <w:sz w:val="21"/>
                <w:szCs w:val="21"/>
              </w:rPr>
            </w:pPr>
            <w:r>
              <w:rPr>
                <w:spacing w:val="-3"/>
                <w:sz w:val="21"/>
                <w:szCs w:val="21"/>
              </w:rPr>
              <w:t>不带声明</w:t>
            </w:r>
          </w:p>
        </w:tc>
        <w:tc>
          <w:tcPr>
            <w:tcW w:w="1459" w:type="dxa"/>
            <w:tcBorders>
              <w:left w:val="single" w:color="000000" w:sz="4" w:space="0"/>
            </w:tcBorders>
            <w:vAlign w:val="center"/>
          </w:tcPr>
          <w:p>
            <w:pPr>
              <w:pStyle w:val="80"/>
              <w:keepNext w:val="0"/>
              <w:keepLines w:val="0"/>
              <w:pageBreakBefore w:val="0"/>
              <w:kinsoku/>
              <w:wordWrap/>
              <w:overflowPunct/>
              <w:topLinePunct w:val="0"/>
              <w:autoSpaceDE/>
              <w:autoSpaceDN/>
              <w:bidi w:val="0"/>
              <w:snapToGrid/>
              <w:spacing w:before="242" w:line="221" w:lineRule="auto"/>
              <w:ind w:left="15" w:leftChars="7" w:right="6" w:rightChars="3" w:firstLine="2" w:firstLineChars="1"/>
              <w:jc w:val="center"/>
              <w:textAlignment w:val="auto"/>
              <w:rPr>
                <w:sz w:val="21"/>
                <w:szCs w:val="21"/>
              </w:rPr>
            </w:pPr>
            <w:r>
              <w:rPr>
                <w:spacing w:val="-2"/>
                <w:sz w:val="21"/>
                <w:szCs w:val="21"/>
              </w:rPr>
              <w:t>不允许</w:t>
            </w:r>
          </w:p>
        </w:tc>
        <w:tc>
          <w:tcPr>
            <w:tcW w:w="2934" w:type="dxa"/>
            <w:vAlign w:val="center"/>
          </w:tcPr>
          <w:p>
            <w:pPr>
              <w:pStyle w:val="80"/>
              <w:keepNext w:val="0"/>
              <w:keepLines w:val="0"/>
              <w:pageBreakBefore w:val="0"/>
              <w:kinsoku/>
              <w:wordWrap/>
              <w:overflowPunct/>
              <w:topLinePunct w:val="0"/>
              <w:autoSpaceDE/>
              <w:autoSpaceDN/>
              <w:bidi w:val="0"/>
              <w:snapToGrid/>
              <w:spacing w:before="242" w:line="221" w:lineRule="auto"/>
              <w:ind w:left="15" w:leftChars="7" w:right="6" w:rightChars="3" w:firstLine="2" w:firstLineChars="1"/>
              <w:jc w:val="center"/>
              <w:textAlignment w:val="auto"/>
              <w:rPr>
                <w:sz w:val="21"/>
                <w:szCs w:val="21"/>
              </w:rPr>
            </w:pPr>
            <w:r>
              <w:rPr>
                <w:spacing w:val="-2"/>
                <w:sz w:val="21"/>
                <w:szCs w:val="21"/>
              </w:rPr>
              <w:t>不允许</w:t>
            </w:r>
          </w:p>
        </w:tc>
        <w:tc>
          <w:tcPr>
            <w:tcW w:w="2423" w:type="dxa"/>
            <w:vAlign w:val="center"/>
          </w:tcPr>
          <w:p>
            <w:pPr>
              <w:pStyle w:val="80"/>
              <w:keepNext w:val="0"/>
              <w:keepLines w:val="0"/>
              <w:pageBreakBefore w:val="0"/>
              <w:kinsoku/>
              <w:wordWrap/>
              <w:overflowPunct/>
              <w:topLinePunct w:val="0"/>
              <w:autoSpaceDE/>
              <w:autoSpaceDN/>
              <w:bidi w:val="0"/>
              <w:snapToGrid/>
              <w:spacing w:before="242" w:line="221" w:lineRule="auto"/>
              <w:ind w:left="15" w:leftChars="7" w:right="6" w:rightChars="3" w:firstLine="2" w:firstLineChars="1"/>
              <w:jc w:val="center"/>
              <w:textAlignment w:val="auto"/>
              <w:rPr>
                <w:rFonts w:ascii="Times New Roman" w:hAnsi="Times New Roman" w:eastAsia="Times New Roman" w:cs="Times New Roman"/>
                <w:sz w:val="21"/>
                <w:szCs w:val="21"/>
              </w:rPr>
            </w:pPr>
            <w:r>
              <w:rPr>
                <w:spacing w:val="-4"/>
                <w:sz w:val="21"/>
                <w:szCs w:val="21"/>
              </w:rPr>
              <w:t>允许</w:t>
            </w:r>
            <w:r>
              <w:rPr>
                <w:rFonts w:ascii="Times New Roman" w:hAnsi="Times New Roman" w:eastAsia="Times New Roman" w:cs="Times New Roman"/>
                <w:spacing w:val="-4"/>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434" w:type="dxa"/>
            <w:vMerge w:val="continue"/>
            <w:tcBorders>
              <w:top w:val="nil"/>
            </w:tcBorders>
            <w:vAlign w:val="top"/>
          </w:tcPr>
          <w:p>
            <w:pPr>
              <w:keepNext w:val="0"/>
              <w:keepLines w:val="0"/>
              <w:pageBreakBefore w:val="0"/>
              <w:kinsoku/>
              <w:wordWrap/>
              <w:overflowPunct/>
              <w:topLinePunct w:val="0"/>
              <w:autoSpaceDE/>
              <w:autoSpaceDN/>
              <w:bidi w:val="0"/>
              <w:snapToGrid/>
              <w:ind w:left="15" w:leftChars="7" w:right="6" w:rightChars="3" w:firstLine="2" w:firstLineChars="1"/>
              <w:jc w:val="center"/>
              <w:textAlignment w:val="auto"/>
              <w:rPr>
                <w:rFonts w:ascii="Arial"/>
                <w:sz w:val="21"/>
                <w:szCs w:val="21"/>
              </w:rPr>
            </w:pPr>
          </w:p>
        </w:tc>
        <w:tc>
          <w:tcPr>
            <w:tcW w:w="1229" w:type="dxa"/>
            <w:tcBorders>
              <w:right w:val="single" w:color="000000" w:sz="4" w:space="0"/>
            </w:tcBorders>
            <w:vAlign w:val="top"/>
          </w:tcPr>
          <w:p>
            <w:pPr>
              <w:pStyle w:val="80"/>
              <w:keepNext w:val="0"/>
              <w:keepLines w:val="0"/>
              <w:pageBreakBefore w:val="0"/>
              <w:kinsoku/>
              <w:wordWrap/>
              <w:overflowPunct/>
              <w:topLinePunct w:val="0"/>
              <w:autoSpaceDE/>
              <w:autoSpaceDN/>
              <w:bidi w:val="0"/>
              <w:snapToGrid/>
              <w:spacing w:before="246" w:line="221" w:lineRule="auto"/>
              <w:ind w:left="15" w:leftChars="7" w:right="6" w:rightChars="3" w:firstLine="2" w:firstLineChars="1"/>
              <w:jc w:val="center"/>
              <w:textAlignment w:val="auto"/>
              <w:rPr>
                <w:rFonts w:ascii="Times New Roman" w:hAnsi="Times New Roman" w:eastAsia="Times New Roman" w:cs="Times New Roman"/>
                <w:sz w:val="21"/>
                <w:szCs w:val="21"/>
              </w:rPr>
            </w:pPr>
            <w:r>
              <w:rPr>
                <w:spacing w:val="-3"/>
                <w:sz w:val="21"/>
                <w:szCs w:val="21"/>
              </w:rPr>
              <w:t>带声明</w:t>
            </w:r>
            <w:r>
              <w:rPr>
                <w:rFonts w:ascii="Times New Roman" w:hAnsi="Times New Roman" w:eastAsia="Times New Roman" w:cs="Times New Roman"/>
                <w:spacing w:val="-3"/>
                <w:sz w:val="21"/>
                <w:szCs w:val="21"/>
              </w:rPr>
              <w:t>*4</w:t>
            </w:r>
          </w:p>
        </w:tc>
        <w:tc>
          <w:tcPr>
            <w:tcW w:w="1459" w:type="dxa"/>
            <w:tcBorders>
              <w:left w:val="single" w:color="000000" w:sz="4" w:space="0"/>
            </w:tcBorders>
            <w:vAlign w:val="center"/>
          </w:tcPr>
          <w:p>
            <w:pPr>
              <w:pStyle w:val="80"/>
              <w:keepNext w:val="0"/>
              <w:keepLines w:val="0"/>
              <w:pageBreakBefore w:val="0"/>
              <w:kinsoku/>
              <w:wordWrap/>
              <w:overflowPunct/>
              <w:topLinePunct w:val="0"/>
              <w:autoSpaceDE/>
              <w:autoSpaceDN/>
              <w:bidi w:val="0"/>
              <w:snapToGrid/>
              <w:spacing w:before="246" w:line="221" w:lineRule="auto"/>
              <w:ind w:left="15" w:leftChars="7" w:right="6" w:rightChars="3" w:firstLine="2" w:firstLineChars="1"/>
              <w:jc w:val="center"/>
              <w:textAlignment w:val="auto"/>
              <w:rPr>
                <w:sz w:val="21"/>
                <w:szCs w:val="21"/>
              </w:rPr>
            </w:pPr>
            <w:r>
              <w:rPr>
                <w:spacing w:val="-2"/>
                <w:sz w:val="21"/>
                <w:szCs w:val="21"/>
              </w:rPr>
              <w:t>不允许</w:t>
            </w:r>
          </w:p>
        </w:tc>
        <w:tc>
          <w:tcPr>
            <w:tcW w:w="2934" w:type="dxa"/>
            <w:vAlign w:val="center"/>
          </w:tcPr>
          <w:p>
            <w:pPr>
              <w:pStyle w:val="80"/>
              <w:keepNext w:val="0"/>
              <w:keepLines w:val="0"/>
              <w:pageBreakBefore w:val="0"/>
              <w:kinsoku/>
              <w:wordWrap/>
              <w:overflowPunct/>
              <w:topLinePunct w:val="0"/>
              <w:autoSpaceDE/>
              <w:autoSpaceDN/>
              <w:bidi w:val="0"/>
              <w:snapToGrid/>
              <w:spacing w:before="246" w:line="221" w:lineRule="auto"/>
              <w:ind w:left="15" w:leftChars="7" w:right="6" w:rightChars="3" w:firstLine="2" w:firstLineChars="1"/>
              <w:jc w:val="center"/>
              <w:textAlignment w:val="auto"/>
              <w:rPr>
                <w:rFonts w:ascii="Times New Roman" w:hAnsi="Times New Roman" w:eastAsia="Times New Roman" w:cs="Times New Roman"/>
                <w:sz w:val="21"/>
                <w:szCs w:val="21"/>
              </w:rPr>
            </w:pPr>
            <w:r>
              <w:rPr>
                <w:spacing w:val="-4"/>
                <w:sz w:val="21"/>
                <w:szCs w:val="21"/>
              </w:rPr>
              <w:t>允许</w:t>
            </w:r>
            <w:r>
              <w:rPr>
                <w:rFonts w:ascii="Times New Roman" w:hAnsi="Times New Roman" w:eastAsia="Times New Roman" w:cs="Times New Roman"/>
                <w:spacing w:val="-4"/>
                <w:sz w:val="21"/>
                <w:szCs w:val="21"/>
              </w:rPr>
              <w:t>*5</w:t>
            </w:r>
          </w:p>
        </w:tc>
        <w:tc>
          <w:tcPr>
            <w:tcW w:w="2423" w:type="dxa"/>
            <w:vAlign w:val="center"/>
          </w:tcPr>
          <w:p>
            <w:pPr>
              <w:pStyle w:val="80"/>
              <w:keepNext w:val="0"/>
              <w:keepLines w:val="0"/>
              <w:pageBreakBefore w:val="0"/>
              <w:kinsoku/>
              <w:wordWrap/>
              <w:overflowPunct/>
              <w:topLinePunct w:val="0"/>
              <w:autoSpaceDE/>
              <w:autoSpaceDN/>
              <w:bidi w:val="0"/>
              <w:snapToGrid/>
              <w:spacing w:before="246" w:line="221" w:lineRule="auto"/>
              <w:ind w:left="15" w:leftChars="7" w:right="6" w:rightChars="3" w:firstLine="2" w:firstLineChars="1"/>
              <w:jc w:val="center"/>
              <w:textAlignment w:val="auto"/>
              <w:rPr>
                <w:rFonts w:ascii="Times New Roman" w:hAnsi="Times New Roman" w:eastAsia="Times New Roman" w:cs="Times New Roman"/>
                <w:sz w:val="21"/>
                <w:szCs w:val="21"/>
              </w:rPr>
            </w:pPr>
            <w:r>
              <w:rPr>
                <w:spacing w:val="-4"/>
                <w:sz w:val="21"/>
                <w:szCs w:val="21"/>
              </w:rPr>
              <w:t>允许</w:t>
            </w:r>
            <w:r>
              <w:rPr>
                <w:rFonts w:ascii="Times New Roman" w:hAnsi="Times New Roman" w:eastAsia="Times New Roman" w:cs="Times New Roman"/>
                <w:spacing w:val="-4"/>
                <w:sz w:val="21"/>
                <w:szCs w:val="21"/>
              </w:rPr>
              <w:t>*5</w:t>
            </w:r>
          </w:p>
        </w:tc>
      </w:tr>
    </w:tbl>
    <w:p>
      <w:pPr>
        <w:keepNext w:val="0"/>
        <w:keepLines w:val="0"/>
        <w:pageBreakBefore w:val="0"/>
        <w:widowControl w:val="0"/>
        <w:kinsoku/>
        <w:wordWrap/>
        <w:overflowPunct/>
        <w:topLinePunct w:val="0"/>
        <w:autoSpaceDE/>
        <w:autoSpaceDN/>
        <w:bidi w:val="0"/>
        <w:snapToGrid/>
        <w:spacing w:before="106" w:line="269" w:lineRule="auto"/>
        <w:ind w:left="15" w:leftChars="7" w:right="6" w:rightChars="3" w:firstLine="2" w:firstLineChars="1"/>
        <w:textAlignment w:val="auto"/>
        <w:rPr>
          <w:rFonts w:ascii="宋体" w:hAnsi="宋体" w:eastAsia="宋体" w:cs="宋体"/>
          <w:spacing w:val="-1"/>
          <w:sz w:val="21"/>
          <w:szCs w:val="21"/>
        </w:rPr>
      </w:pPr>
    </w:p>
    <w:p>
      <w:pPr>
        <w:keepNext w:val="0"/>
        <w:keepLines w:val="0"/>
        <w:pageBreakBefore w:val="0"/>
        <w:widowControl w:val="0"/>
        <w:kinsoku/>
        <w:wordWrap/>
        <w:overflowPunct/>
        <w:topLinePunct w:val="0"/>
        <w:autoSpaceDE/>
        <w:autoSpaceDN/>
        <w:bidi w:val="0"/>
        <w:snapToGrid/>
        <w:spacing w:before="106" w:line="269" w:lineRule="auto"/>
        <w:ind w:left="15" w:leftChars="7" w:right="6" w:rightChars="3" w:firstLine="2" w:firstLineChars="1"/>
        <w:textAlignment w:val="auto"/>
        <w:rPr>
          <w:rFonts w:ascii="宋体" w:hAnsi="宋体" w:eastAsia="宋体" w:cs="宋体"/>
          <w:spacing w:val="-1"/>
          <w:sz w:val="21"/>
          <w:szCs w:val="21"/>
        </w:rPr>
      </w:pPr>
      <w:r>
        <w:rPr>
          <w:rFonts w:ascii="宋体" w:hAnsi="宋体" w:eastAsia="宋体" w:cs="宋体"/>
          <w:spacing w:val="-1"/>
          <w:sz w:val="21"/>
          <w:szCs w:val="21"/>
        </w:rPr>
        <w:t xml:space="preserve">注： </w:t>
      </w:r>
    </w:p>
    <w:p>
      <w:pPr>
        <w:keepNext w:val="0"/>
        <w:keepLines w:val="0"/>
        <w:pageBreakBefore w:val="0"/>
        <w:widowControl w:val="0"/>
        <w:kinsoku/>
        <w:wordWrap/>
        <w:overflowPunct/>
        <w:topLinePunct w:val="0"/>
        <w:autoSpaceDE/>
        <w:autoSpaceDN/>
        <w:bidi w:val="0"/>
        <w:adjustRightInd w:val="0"/>
        <w:snapToGrid/>
        <w:spacing w:before="106" w:line="269" w:lineRule="auto"/>
        <w:ind w:left="15" w:leftChars="7" w:right="6" w:rightChars="3" w:firstLine="2" w:firstLineChars="1"/>
        <w:jc w:val="left"/>
        <w:textAlignment w:val="auto"/>
        <w:rPr>
          <w:rFonts w:ascii="宋体" w:hAnsi="宋体" w:eastAsia="宋体" w:cs="宋体"/>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这本身可以是一个有形产品或在单个包装箱、容器里的产品。在测试</w:t>
      </w:r>
      <w:r>
        <w:rPr>
          <w:rFonts w:ascii="Times New Roman" w:hAnsi="Times New Roman" w:eastAsia="Times New Roman" w:cs="Times New Roman"/>
          <w:spacing w:val="-1"/>
          <w:sz w:val="21"/>
          <w:szCs w:val="21"/>
        </w:rPr>
        <w:t>/</w:t>
      </w:r>
      <w:r>
        <w:rPr>
          <w:rFonts w:ascii="宋体" w:hAnsi="宋体" w:eastAsia="宋体" w:cs="宋体"/>
          <w:spacing w:val="-1"/>
          <w:sz w:val="21"/>
          <w:szCs w:val="21"/>
        </w:rPr>
        <w:t>分析活动中，可以是一份测试</w:t>
      </w:r>
      <w:r>
        <w:rPr>
          <w:rFonts w:ascii="Times New Roman" w:hAnsi="Times New Roman" w:eastAsia="Times New Roman" w:cs="Times New Roman"/>
          <w:spacing w:val="-1"/>
          <w:sz w:val="21"/>
          <w:szCs w:val="21"/>
        </w:rPr>
        <w:t>/</w:t>
      </w:r>
      <w:r>
        <w:rPr>
          <w:rFonts w:ascii="宋体" w:hAnsi="宋体" w:eastAsia="宋体" w:cs="宋体"/>
          <w:spacing w:val="-1"/>
          <w:sz w:val="21"/>
          <w:szCs w:val="21"/>
        </w:rPr>
        <w:t>分析报告。</w:t>
      </w:r>
    </w:p>
    <w:p>
      <w:pPr>
        <w:keepNext w:val="0"/>
        <w:keepLines w:val="0"/>
        <w:pageBreakBefore w:val="0"/>
        <w:widowControl w:val="0"/>
        <w:kinsoku/>
        <w:wordWrap/>
        <w:overflowPunct/>
        <w:topLinePunct w:val="0"/>
        <w:autoSpaceDE/>
        <w:autoSpaceDN/>
        <w:bidi w:val="0"/>
        <w:adjustRightInd/>
        <w:snapToGrid/>
        <w:spacing w:before="95" w:line="269" w:lineRule="auto"/>
        <w:ind w:left="15" w:leftChars="7" w:right="6" w:rightChars="3" w:firstLine="2" w:firstLineChars="1"/>
        <w:jc w:val="left"/>
        <w:textAlignment w:val="auto"/>
        <w:rPr>
          <w:rFonts w:ascii="宋体" w:hAnsi="宋体" w:eastAsia="宋体" w:cs="宋体"/>
          <w:spacing w:val="-3"/>
          <w:sz w:val="21"/>
          <w:szCs w:val="21"/>
        </w:rPr>
      </w:pP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这可以是薄纸板等做成的外包装</w:t>
      </w:r>
      <w:r>
        <w:rPr>
          <w:rFonts w:hint="eastAsia" w:ascii="宋体" w:hAnsi="宋体" w:cs="宋体"/>
          <w:spacing w:val="-3"/>
          <w:sz w:val="21"/>
          <w:szCs w:val="21"/>
          <w:lang w:eastAsia="zh-CN"/>
        </w:rPr>
        <w:t>，</w:t>
      </w:r>
      <w:r>
        <w:rPr>
          <w:rFonts w:ascii="宋体" w:hAnsi="宋体" w:eastAsia="宋体" w:cs="宋体"/>
          <w:spacing w:val="-3"/>
          <w:sz w:val="21"/>
          <w:szCs w:val="21"/>
        </w:rPr>
        <w:t>可以合理地认为它到不了最终用户手里。</w:t>
      </w:r>
    </w:p>
    <w:p>
      <w:pPr>
        <w:keepNext w:val="0"/>
        <w:keepLines w:val="0"/>
        <w:pageBreakBefore w:val="0"/>
        <w:widowControl w:val="0"/>
        <w:kinsoku/>
        <w:wordWrap/>
        <w:overflowPunct/>
        <w:topLinePunct w:val="0"/>
        <w:autoSpaceDE/>
        <w:autoSpaceDN/>
        <w:bidi w:val="0"/>
        <w:snapToGrid/>
        <w:spacing w:before="95" w:line="269" w:lineRule="auto"/>
        <w:ind w:left="15" w:leftChars="7" w:right="6" w:rightChars="3" w:firstLine="2" w:firstLineChars="1"/>
        <w:jc w:val="left"/>
        <w:textAlignment w:val="auto"/>
        <w:rPr>
          <w:rFonts w:ascii="宋体" w:hAnsi="宋体" w:eastAsia="宋体" w:cs="宋体"/>
          <w:sz w:val="21"/>
          <w:szCs w:val="21"/>
        </w:rPr>
      </w:pP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这适用于那些对其适用性有基本描述的具体形式的标志。在这个意义上，仅仅一个词语声明不能构成</w:t>
      </w:r>
      <w:r>
        <w:rPr>
          <w:rFonts w:ascii="宋体" w:hAnsi="宋体" w:eastAsia="宋体" w:cs="宋体"/>
          <w:sz w:val="21"/>
          <w:szCs w:val="21"/>
        </w:rPr>
        <w:t xml:space="preserve"> </w:t>
      </w:r>
      <w:r>
        <w:rPr>
          <w:rFonts w:ascii="宋体" w:hAnsi="宋体" w:eastAsia="宋体" w:cs="宋体"/>
          <w:spacing w:val="-5"/>
          <w:sz w:val="21"/>
          <w:szCs w:val="21"/>
        </w:rPr>
        <w:t>标志。任何这样的措辞应是真实的，而不能误导。</w:t>
      </w:r>
    </w:p>
    <w:p>
      <w:pPr>
        <w:keepNext w:val="0"/>
        <w:keepLines w:val="0"/>
        <w:pageBreakBefore w:val="0"/>
        <w:widowControl w:val="0"/>
        <w:kinsoku/>
        <w:wordWrap/>
        <w:overflowPunct/>
        <w:topLinePunct w:val="0"/>
        <w:autoSpaceDE/>
        <w:autoSpaceDN/>
        <w:bidi w:val="0"/>
        <w:adjustRightInd/>
        <w:snapToGrid/>
        <w:spacing w:before="109" w:line="269" w:lineRule="auto"/>
        <w:ind w:left="15" w:leftChars="7" w:right="6" w:rightChars="3" w:firstLine="2" w:firstLineChars="1"/>
        <w:jc w:val="left"/>
        <w:textAlignment w:val="auto"/>
        <w:rPr>
          <w:rFonts w:ascii="宋体" w:hAnsi="宋体" w:eastAsia="宋体" w:cs="宋体"/>
          <w:sz w:val="21"/>
          <w:szCs w:val="21"/>
        </w:rPr>
      </w:pP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这可以是一个清楚的声明：</w:t>
      </w:r>
      <w:r>
        <w:rPr>
          <w:rFonts w:ascii="Times New Roman" w:hAnsi="Times New Roman" w:eastAsia="Times New Roman" w:cs="Times New Roman"/>
          <w:spacing w:val="-4"/>
          <w:sz w:val="21"/>
          <w:szCs w:val="21"/>
        </w:rPr>
        <w:t>ℼ</w:t>
      </w:r>
      <w:r>
        <w:rPr>
          <w:rFonts w:ascii="宋体" w:hAnsi="宋体" w:eastAsia="宋体" w:cs="宋体"/>
          <w:spacing w:val="-4"/>
          <w:sz w:val="21"/>
          <w:szCs w:val="21"/>
        </w:rPr>
        <w:t>（该产品）是在一个质量</w:t>
      </w:r>
      <w:r>
        <w:rPr>
          <w:rFonts w:ascii="Times New Roman" w:hAnsi="Times New Roman" w:eastAsia="Times New Roman" w:cs="Times New Roman"/>
          <w:spacing w:val="-4"/>
          <w:sz w:val="21"/>
          <w:szCs w:val="21"/>
        </w:rPr>
        <w:t>/</w:t>
      </w:r>
      <w:r>
        <w:rPr>
          <w:rFonts w:ascii="宋体" w:hAnsi="宋体" w:eastAsia="宋体" w:cs="宋体"/>
          <w:spacing w:val="-4"/>
          <w:sz w:val="21"/>
          <w:szCs w:val="21"/>
        </w:rPr>
        <w:t>环境</w:t>
      </w:r>
      <w:r>
        <w:rPr>
          <w:rFonts w:ascii="Times New Roman" w:hAnsi="Times New Roman" w:eastAsia="Times New Roman" w:cs="Times New Roman"/>
          <w:spacing w:val="-4"/>
          <w:sz w:val="21"/>
          <w:szCs w:val="21"/>
        </w:rPr>
        <w:t>/</w:t>
      </w:r>
      <w:r>
        <w:rPr>
          <w:rFonts w:ascii="宋体" w:hAnsi="宋体" w:eastAsia="宋体" w:cs="宋体"/>
          <w:spacing w:val="-4"/>
          <w:sz w:val="21"/>
          <w:szCs w:val="21"/>
        </w:rPr>
        <w:t>职业健康安全管理体系，</w:t>
      </w:r>
      <w:r>
        <w:rPr>
          <w:rFonts w:ascii="宋体" w:hAnsi="宋体" w:eastAsia="宋体" w:cs="宋体"/>
          <w:spacing w:val="-5"/>
          <w:sz w:val="21"/>
          <w:szCs w:val="21"/>
        </w:rPr>
        <w:t>通过</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GB/T19001</w:t>
      </w:r>
      <w:r>
        <w:rPr>
          <w:rFonts w:ascii="宋体" w:hAnsi="宋体" w:eastAsia="宋体" w:cs="宋体"/>
          <w:spacing w:val="-1"/>
          <w:sz w:val="21"/>
          <w:szCs w:val="21"/>
        </w:rPr>
        <w:t>或</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GB/T24001</w:t>
      </w:r>
      <w:r>
        <w:rPr>
          <w:rFonts w:ascii="宋体" w:hAnsi="宋体" w:eastAsia="宋体" w:cs="宋体"/>
          <w:spacing w:val="-1"/>
          <w:sz w:val="21"/>
          <w:szCs w:val="21"/>
        </w:rPr>
        <w:t>或</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GB/T45001</w:t>
      </w:r>
      <w:r>
        <w:rPr>
          <w:rFonts w:ascii="宋体" w:hAnsi="宋体" w:eastAsia="宋体" w:cs="宋体"/>
          <w:spacing w:val="-1"/>
          <w:sz w:val="21"/>
          <w:szCs w:val="21"/>
        </w:rPr>
        <w:t>认证的工厂里制造的</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pPr>
        <w:keepNext w:val="0"/>
        <w:keepLines w:val="0"/>
        <w:pageBreakBefore w:val="0"/>
        <w:widowControl w:val="0"/>
        <w:kinsoku/>
        <w:wordWrap/>
        <w:overflowPunct/>
        <w:topLinePunct w:val="0"/>
        <w:autoSpaceDE/>
        <w:autoSpaceDN/>
        <w:bidi w:val="0"/>
        <w:snapToGrid/>
        <w:spacing w:before="109" w:line="269" w:lineRule="auto"/>
        <w:ind w:left="15" w:leftChars="7" w:right="6" w:rightChars="3" w:firstLine="2" w:firstLineChars="1"/>
        <w:jc w:val="left"/>
        <w:textAlignment w:val="auto"/>
        <w:rPr>
          <w:rFonts w:ascii="宋体" w:hAnsi="宋体" w:eastAsia="宋体" w:cs="宋体"/>
          <w:sz w:val="21"/>
          <w:szCs w:val="21"/>
        </w:rPr>
      </w:pPr>
      <w:r>
        <w:rPr>
          <w:rFonts w:ascii="Times New Roman" w:hAnsi="Times New Roman" w:eastAsia="Times New Roman" w:cs="Times New Roman"/>
          <w:spacing w:val="-2"/>
          <w:position w:val="11"/>
          <w:sz w:val="21"/>
          <w:szCs w:val="21"/>
        </w:rPr>
        <w:t xml:space="preserve">*5  </w:t>
      </w:r>
      <w:r>
        <w:rPr>
          <w:rFonts w:ascii="宋体" w:hAnsi="宋体" w:eastAsia="宋体" w:cs="宋体"/>
          <w:spacing w:val="-2"/>
          <w:position w:val="11"/>
          <w:sz w:val="21"/>
          <w:szCs w:val="21"/>
        </w:rPr>
        <w:t>当使用符号或徽标时，应充分注意避免违反</w:t>
      </w:r>
      <w:r>
        <w:rPr>
          <w:rFonts w:ascii="宋体" w:hAnsi="宋体" w:eastAsia="宋体" w:cs="宋体"/>
          <w:spacing w:val="-41"/>
          <w:position w:val="11"/>
          <w:sz w:val="21"/>
          <w:szCs w:val="21"/>
        </w:rPr>
        <w:t xml:space="preserve"> </w:t>
      </w:r>
      <w:r>
        <w:rPr>
          <w:rFonts w:ascii="Times New Roman" w:hAnsi="Times New Roman" w:eastAsia="Times New Roman" w:cs="Times New Roman"/>
          <w:spacing w:val="-2"/>
          <w:position w:val="11"/>
          <w:sz w:val="21"/>
          <w:szCs w:val="21"/>
        </w:rPr>
        <w:t>CNAS</w:t>
      </w:r>
      <w:r>
        <w:rPr>
          <w:rFonts w:ascii="宋体" w:hAnsi="宋体" w:eastAsia="宋体" w:cs="宋体"/>
          <w:spacing w:val="-2"/>
          <w:position w:val="11"/>
          <w:sz w:val="21"/>
          <w:szCs w:val="21"/>
        </w:rPr>
        <w:t>的相关规定。</w:t>
      </w:r>
    </w:p>
    <w:p>
      <w:pPr>
        <w:keepNext w:val="0"/>
        <w:keepLines w:val="0"/>
        <w:pageBreakBefore w:val="0"/>
        <w:widowControl w:val="0"/>
        <w:kinsoku/>
        <w:wordWrap/>
        <w:overflowPunct/>
        <w:topLinePunct w:val="0"/>
        <w:autoSpaceDE/>
        <w:autoSpaceDN/>
        <w:bidi w:val="0"/>
        <w:adjustRightInd/>
        <w:snapToGrid/>
        <w:spacing w:line="269" w:lineRule="auto"/>
        <w:ind w:left="15" w:leftChars="7" w:right="6" w:rightChars="3" w:firstLine="2" w:firstLineChars="1"/>
        <w:jc w:val="left"/>
        <w:textAlignment w:val="auto"/>
        <w:rPr>
          <w:rFonts w:ascii="宋体" w:hAnsi="宋体" w:eastAsia="宋体" w:cs="宋体"/>
          <w:sz w:val="21"/>
          <w:szCs w:val="21"/>
        </w:rPr>
      </w:pPr>
      <w:r>
        <w:rPr>
          <w:rFonts w:ascii="宋体" w:hAnsi="宋体" w:eastAsia="宋体" w:cs="宋体"/>
          <w:spacing w:val="-2"/>
          <w:sz w:val="21"/>
          <w:szCs w:val="21"/>
        </w:rPr>
        <w:t>以上备注可以被</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 xml:space="preserve">CNAS </w:t>
      </w:r>
      <w:r>
        <w:rPr>
          <w:rFonts w:ascii="宋体" w:hAnsi="宋体" w:eastAsia="宋体" w:cs="宋体"/>
          <w:spacing w:val="-2"/>
          <w:sz w:val="21"/>
          <w:szCs w:val="21"/>
        </w:rPr>
        <w:t>特定认证标志的使用条件取代。</w:t>
      </w:r>
    </w:p>
    <w:p>
      <w:pPr>
        <w:keepNext w:val="0"/>
        <w:keepLines w:val="0"/>
        <w:pageBreakBefore w:val="0"/>
        <w:widowControl w:val="0"/>
        <w:kinsoku/>
        <w:wordWrap/>
        <w:overflowPunct/>
        <w:topLinePunct w:val="0"/>
        <w:autoSpaceDE/>
        <w:autoSpaceDN/>
        <w:bidi w:val="0"/>
        <w:snapToGrid/>
        <w:spacing w:before="102"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11.7</w:t>
      </w:r>
      <w:r>
        <w:rPr>
          <w:rFonts w:hint="eastAsia" w:ascii="Times New Roman" w:hAnsi="Times New Roman" w:cs="Times New Roman"/>
          <w:spacing w:val="-1"/>
          <w:sz w:val="24"/>
          <w:szCs w:val="24"/>
          <w:lang w:val="en-US" w:eastAsia="zh-CN"/>
        </w:rPr>
        <w:t xml:space="preserve">  </w:t>
      </w:r>
      <w:r>
        <w:rPr>
          <w:rFonts w:ascii="宋体" w:hAnsi="宋体" w:eastAsia="宋体" w:cs="宋体"/>
          <w:spacing w:val="-1"/>
          <w:sz w:val="24"/>
          <w:szCs w:val="24"/>
        </w:rPr>
        <w:t>中盛向获证组织颁发带认可标志的认证证书</w:t>
      </w:r>
      <w:r>
        <w:rPr>
          <w:rFonts w:ascii="宋体" w:hAnsi="宋体" w:eastAsia="宋体" w:cs="宋体"/>
          <w:spacing w:val="-2"/>
          <w:sz w:val="24"/>
          <w:szCs w:val="24"/>
        </w:rPr>
        <w:t>时，获证组织方可使用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C-SUN </w:t>
      </w:r>
      <w:r>
        <w:rPr>
          <w:rFonts w:ascii="宋体" w:hAnsi="宋体" w:eastAsia="宋体" w:cs="宋体"/>
          <w:spacing w:val="-2"/>
          <w:sz w:val="24"/>
          <w:szCs w:val="24"/>
        </w:rPr>
        <w:t>标识。</w:t>
      </w:r>
    </w:p>
    <w:p>
      <w:pPr>
        <w:keepNext w:val="0"/>
        <w:keepLines w:val="0"/>
        <w:pageBreakBefore w:val="0"/>
        <w:widowControl w:val="0"/>
        <w:kinsoku/>
        <w:wordWrap/>
        <w:overflowPunct/>
        <w:topLinePunct w:val="0"/>
        <w:autoSpaceDE/>
        <w:autoSpaceDN/>
        <w:bidi w:val="0"/>
        <w:snapToGrid/>
        <w:spacing w:before="98"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11.7.1</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认证认可标志的使用应遵守以下要求：</w:t>
      </w:r>
    </w:p>
    <w:p>
      <w:pPr>
        <w:keepNext w:val="0"/>
        <w:keepLines w:val="0"/>
        <w:pageBreakBefore w:val="0"/>
        <w:widowControl w:val="0"/>
        <w:kinsoku/>
        <w:wordWrap/>
        <w:overflowPunct/>
        <w:topLinePunct w:val="0"/>
        <w:autoSpaceDE/>
        <w:autoSpaceDN/>
        <w:bidi w:val="0"/>
        <w:snapToGrid/>
        <w:spacing w:before="99"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11.7.1.1</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获证组织不得将中盛的认证标志用在与认证证书无关的范围，进行宣传，造成误导；</w:t>
      </w:r>
    </w:p>
    <w:p>
      <w:pPr>
        <w:keepNext w:val="0"/>
        <w:keepLines w:val="0"/>
        <w:pageBreakBefore w:val="0"/>
        <w:widowControl w:val="0"/>
        <w:kinsoku/>
        <w:wordWrap/>
        <w:overflowPunct/>
        <w:topLinePunct w:val="0"/>
        <w:autoSpaceDE/>
        <w:autoSpaceDN/>
        <w:bidi w:val="0"/>
        <w:snapToGrid/>
        <w:spacing w:before="99"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11.7.1</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管理体系认证证书、认证标志不准以任何方式转让、出售、借用或冒用；</w:t>
      </w:r>
    </w:p>
    <w:p>
      <w:pPr>
        <w:keepNext w:val="0"/>
        <w:keepLines w:val="0"/>
        <w:pageBreakBefore w:val="0"/>
        <w:widowControl w:val="0"/>
        <w:kinsoku/>
        <w:wordWrap/>
        <w:overflowPunct/>
        <w:topLinePunct w:val="0"/>
        <w:autoSpaceDE/>
        <w:autoSpaceDN/>
        <w:bidi w:val="0"/>
        <w:snapToGrid/>
        <w:spacing w:before="99"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11.7.1.</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获证组织不得做出有关认证资格误导性的说明，也不得以误导性方式使</w:t>
      </w:r>
      <w:r>
        <w:rPr>
          <w:rFonts w:ascii="宋体" w:hAnsi="宋体" w:eastAsia="宋体" w:cs="宋体"/>
          <w:spacing w:val="-3"/>
          <w:sz w:val="24"/>
          <w:szCs w:val="24"/>
        </w:rPr>
        <w:t>用认证证书或认证证书</w:t>
      </w:r>
      <w:r>
        <w:rPr>
          <w:rFonts w:ascii="宋体" w:hAnsi="宋体" w:eastAsia="宋体" w:cs="宋体"/>
          <w:spacing w:val="-9"/>
          <w:sz w:val="24"/>
          <w:szCs w:val="24"/>
        </w:rPr>
        <w:t>的某一部分；</w:t>
      </w:r>
    </w:p>
    <w:p>
      <w:pPr>
        <w:keepNext w:val="0"/>
        <w:keepLines w:val="0"/>
        <w:pageBreakBefore w:val="0"/>
        <w:widowControl w:val="0"/>
        <w:kinsoku/>
        <w:wordWrap/>
        <w:overflowPunct/>
        <w:topLinePunct w:val="0"/>
        <w:autoSpaceDE/>
        <w:autoSpaceDN/>
        <w:bidi w:val="0"/>
        <w:snapToGrid/>
        <w:spacing w:before="97"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11.7.1.</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获证组织的认证证书被暂停、撤销或注销时，应立即停止对认证资格的</w:t>
      </w:r>
      <w:r>
        <w:rPr>
          <w:rFonts w:ascii="宋体" w:hAnsi="宋体" w:eastAsia="宋体" w:cs="宋体"/>
          <w:spacing w:val="-3"/>
          <w:sz w:val="24"/>
          <w:szCs w:val="24"/>
        </w:rPr>
        <w:t>宣传及对认证证书的使</w:t>
      </w:r>
      <w:r>
        <w:rPr>
          <w:rFonts w:ascii="宋体" w:hAnsi="宋体" w:eastAsia="宋体" w:cs="宋体"/>
          <w:spacing w:val="-16"/>
          <w:sz w:val="24"/>
          <w:szCs w:val="24"/>
        </w:rPr>
        <w:t>用；</w:t>
      </w:r>
    </w:p>
    <w:p>
      <w:pPr>
        <w:keepNext w:val="0"/>
        <w:keepLines w:val="0"/>
        <w:pageBreakBefore w:val="0"/>
        <w:widowControl w:val="0"/>
        <w:kinsoku/>
        <w:wordWrap/>
        <w:overflowPunct/>
        <w:topLinePunct w:val="0"/>
        <w:autoSpaceDE/>
        <w:autoSpaceDN/>
        <w:bidi w:val="0"/>
        <w:snapToGrid/>
        <w:spacing w:before="99"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11.7.1.</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获证组织的认证范围缩小时，应及时修改宣传材料，并</w:t>
      </w:r>
      <w:r>
        <w:rPr>
          <w:rFonts w:ascii="宋体" w:hAnsi="宋体" w:eastAsia="宋体" w:cs="宋体"/>
          <w:spacing w:val="-4"/>
          <w:sz w:val="24"/>
          <w:szCs w:val="24"/>
        </w:rPr>
        <w:t>确保在认证范围内进行宣传；</w:t>
      </w:r>
    </w:p>
    <w:p>
      <w:pPr>
        <w:keepNext w:val="0"/>
        <w:keepLines w:val="0"/>
        <w:pageBreakBefore w:val="0"/>
        <w:widowControl w:val="0"/>
        <w:kinsoku/>
        <w:wordWrap/>
        <w:overflowPunct/>
        <w:topLinePunct w:val="0"/>
        <w:autoSpaceDE/>
        <w:autoSpaceDN/>
        <w:bidi w:val="0"/>
        <w:snapToGrid/>
        <w:spacing w:before="97"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11.7.1.</w:t>
      </w:r>
      <w:r>
        <w:rPr>
          <w:rFonts w:ascii="Times New Roman" w:hAnsi="Times New Roman" w:eastAsia="Times New Roman" w:cs="Times New Roman"/>
          <w:spacing w:val="-5"/>
          <w:sz w:val="24"/>
          <w:szCs w:val="24"/>
        </w:rPr>
        <w:t xml:space="preserve">6  </w:t>
      </w:r>
      <w:r>
        <w:rPr>
          <w:rFonts w:ascii="宋体" w:hAnsi="宋体" w:eastAsia="宋体" w:cs="宋体"/>
          <w:spacing w:val="-5"/>
          <w:sz w:val="24"/>
          <w:szCs w:val="24"/>
        </w:rPr>
        <w:t>获证组织在引用管理体系认证</w:t>
      </w:r>
      <w:r>
        <w:rPr>
          <w:rFonts w:ascii="宋体" w:hAnsi="宋体" w:eastAsia="宋体" w:cs="宋体"/>
          <w:spacing w:val="-6"/>
          <w:sz w:val="24"/>
          <w:szCs w:val="24"/>
        </w:rPr>
        <w:t>资格时，</w:t>
      </w:r>
      <w:r>
        <w:rPr>
          <w:rFonts w:ascii="宋体" w:hAnsi="宋体" w:eastAsia="宋体" w:cs="宋体"/>
          <w:spacing w:val="-52"/>
          <w:sz w:val="24"/>
          <w:szCs w:val="24"/>
        </w:rPr>
        <w:t xml:space="preserve"> </w:t>
      </w:r>
      <w:r>
        <w:rPr>
          <w:rFonts w:ascii="宋体" w:hAnsi="宋体" w:eastAsia="宋体" w:cs="宋体"/>
          <w:spacing w:val="-6"/>
          <w:sz w:val="24"/>
          <w:szCs w:val="24"/>
        </w:rPr>
        <w:t>不得暗示认证机构对产品（包括服务）或过程进行了认</w:t>
      </w:r>
      <w:r>
        <w:rPr>
          <w:rFonts w:ascii="宋体" w:hAnsi="宋体" w:eastAsia="宋体" w:cs="宋体"/>
          <w:spacing w:val="-10"/>
          <w:sz w:val="24"/>
          <w:szCs w:val="24"/>
        </w:rPr>
        <w:t>证。</w:t>
      </w:r>
    </w:p>
    <w:p>
      <w:pPr>
        <w:keepNext w:val="0"/>
        <w:keepLines w:val="0"/>
        <w:pageBreakBefore w:val="0"/>
        <w:widowControl w:val="0"/>
        <w:kinsoku/>
        <w:wordWrap/>
        <w:overflowPunct/>
        <w:topLinePunct w:val="0"/>
        <w:autoSpaceDE/>
        <w:autoSpaceDN/>
        <w:bidi w:val="0"/>
        <w:adjustRightInd/>
        <w:snapToGrid/>
        <w:spacing w:before="83" w:line="269" w:lineRule="auto"/>
        <w:ind w:left="15" w:leftChars="7" w:right="6" w:rightChars="3" w:firstLine="2" w:firstLineChars="1"/>
        <w:textAlignment w:val="auto"/>
        <w:rPr>
          <w:rFonts w:ascii="宋体" w:hAnsi="宋体" w:eastAsia="宋体" w:cs="宋体"/>
          <w:sz w:val="24"/>
          <w:szCs w:val="24"/>
        </w:rPr>
      </w:pPr>
      <w:r>
        <w:rPr>
          <w:rFonts w:hint="eastAsia" w:cs="Times New Roman"/>
          <w:spacing w:val="-5"/>
          <w:sz w:val="24"/>
          <w:szCs w:val="24"/>
          <w:lang w:val="en-US" w:eastAsia="zh-CN"/>
        </w:rPr>
        <w:t>11</w:t>
      </w:r>
      <w:r>
        <w:rPr>
          <w:rFonts w:ascii="Times New Roman" w:hAnsi="Times New Roman" w:eastAsia="Times New Roman" w:cs="Times New Roman"/>
          <w:spacing w:val="-5"/>
          <w:sz w:val="24"/>
          <w:szCs w:val="24"/>
        </w:rPr>
        <w:t>.</w:t>
      </w:r>
      <w:r>
        <w:rPr>
          <w:rFonts w:hint="eastAsia" w:cs="Times New Roman"/>
          <w:spacing w:val="-5"/>
          <w:sz w:val="24"/>
          <w:szCs w:val="24"/>
          <w:lang w:val="en-US" w:eastAsia="zh-CN"/>
        </w:rPr>
        <w:t>8</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如发现获证客户在证书和标志的使用及宣传上违反本文件的要求，</w:t>
      </w:r>
      <w:r>
        <w:rPr>
          <w:rFonts w:ascii="宋体" w:hAnsi="宋体" w:eastAsia="宋体" w:cs="宋体"/>
          <w:spacing w:val="-43"/>
          <w:sz w:val="24"/>
          <w:szCs w:val="24"/>
        </w:rPr>
        <w:t xml:space="preserve"> </w:t>
      </w:r>
      <w:r>
        <w:rPr>
          <w:rFonts w:ascii="宋体" w:hAnsi="宋体" w:eastAsia="宋体" w:cs="宋体"/>
          <w:spacing w:val="-5"/>
          <w:sz w:val="24"/>
          <w:szCs w:val="24"/>
        </w:rPr>
        <w:t>误用或有意错用，造成误导，</w:t>
      </w:r>
      <w:r>
        <w:rPr>
          <w:rFonts w:ascii="宋体" w:hAnsi="宋体" w:eastAsia="宋体" w:cs="宋体"/>
          <w:spacing w:val="1"/>
          <w:sz w:val="24"/>
          <w:szCs w:val="24"/>
        </w:rPr>
        <w:t>中盛将要求获证客户采取纠正措施消除造成的不良影响。中盛可视情节和影响范围采取撤销证</w:t>
      </w:r>
      <w:r>
        <w:rPr>
          <w:rFonts w:ascii="宋体" w:hAnsi="宋体" w:eastAsia="宋体" w:cs="宋体"/>
          <w:sz w:val="24"/>
          <w:szCs w:val="24"/>
        </w:rPr>
        <w:t>书和标志的使用资格。在中盛网站及相关媒体上公布违规，直至</w:t>
      </w:r>
      <w:r>
        <w:rPr>
          <w:rFonts w:ascii="宋体" w:hAnsi="宋体" w:eastAsia="宋体" w:cs="宋体"/>
          <w:spacing w:val="-1"/>
          <w:sz w:val="24"/>
          <w:szCs w:val="24"/>
        </w:rPr>
        <w:t>必要时采取其他的法律措施。</w:t>
      </w:r>
    </w:p>
    <w:p>
      <w:pPr>
        <w:keepNext w:val="0"/>
        <w:keepLines w:val="0"/>
        <w:pageBreakBefore w:val="0"/>
        <w:widowControl w:val="0"/>
        <w:kinsoku/>
        <w:wordWrap/>
        <w:overflowPunct/>
        <w:topLinePunct w:val="0"/>
        <w:autoSpaceDE/>
        <w:autoSpaceDN/>
        <w:bidi w:val="0"/>
        <w:adjustRightInd/>
        <w:snapToGrid/>
        <w:spacing w:before="99" w:line="269" w:lineRule="auto"/>
        <w:ind w:left="15" w:leftChars="7" w:right="6" w:rightChars="3" w:firstLine="2" w:firstLineChars="1"/>
        <w:textAlignment w:val="auto"/>
        <w:rPr>
          <w:rFonts w:ascii="宋体" w:hAnsi="宋体" w:eastAsia="宋体" w:cs="宋体"/>
          <w:sz w:val="24"/>
          <w:szCs w:val="24"/>
        </w:rPr>
      </w:pP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9</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认证证书和标志的暂停使用</w:t>
      </w:r>
    </w:p>
    <w:p>
      <w:pPr>
        <w:keepNext w:val="0"/>
        <w:keepLines w:val="0"/>
        <w:pageBreakBefore w:val="0"/>
        <w:widowControl w:val="0"/>
        <w:kinsoku/>
        <w:wordWrap/>
        <w:overflowPunct/>
        <w:topLinePunct w:val="0"/>
        <w:autoSpaceDE/>
        <w:autoSpaceDN/>
        <w:bidi w:val="0"/>
        <w:adjustRightInd/>
        <w:snapToGrid/>
        <w:spacing w:before="99"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9</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在认证证书有效期内，有下列情况之一时，中盛将暂停获证客户认证证书和标志</w:t>
      </w:r>
      <w:r>
        <w:rPr>
          <w:rFonts w:ascii="宋体" w:hAnsi="宋体" w:eastAsia="宋体" w:cs="宋体"/>
          <w:spacing w:val="-2"/>
          <w:sz w:val="24"/>
          <w:szCs w:val="24"/>
        </w:rPr>
        <w:t>的使用资格：</w:t>
      </w:r>
    </w:p>
    <w:p>
      <w:pPr>
        <w:keepNext w:val="0"/>
        <w:keepLines w:val="0"/>
        <w:pageBreakBefore w:val="0"/>
        <w:widowControl w:val="0"/>
        <w:kinsoku/>
        <w:wordWrap/>
        <w:overflowPunct/>
        <w:topLinePunct w:val="0"/>
        <w:autoSpaceDE/>
        <w:autoSpaceDN/>
        <w:bidi w:val="0"/>
        <w:adjustRightInd/>
        <w:snapToGrid/>
        <w:spacing w:before="95" w:line="269"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"2.7.1.1"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9</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获证客户不能按期接受中盛监督审核的；</w:t>
      </w:r>
      <w:r>
        <w:rPr>
          <w:rFonts w:ascii="宋体" w:hAnsi="宋体" w:eastAsia="宋体" w:cs="宋体"/>
          <w:spacing w:val="-12"/>
          <w:sz w:val="24"/>
          <w:szCs w:val="24"/>
        </w:rPr>
        <w:t xml:space="preserve"> </w:t>
      </w:r>
      <w:r>
        <w:rPr>
          <w:rFonts w:ascii="宋体" w:hAnsi="宋体" w:eastAsia="宋体" w:cs="宋体"/>
          <w:spacing w:val="-3"/>
          <w:sz w:val="24"/>
          <w:szCs w:val="24"/>
        </w:rPr>
        <w:t>获证客户在初次审核结束后规定时间内应进行监督</w:t>
      </w:r>
      <w:r>
        <w:rPr>
          <w:rFonts w:ascii="宋体" w:hAnsi="宋体" w:eastAsia="宋体" w:cs="宋体"/>
          <w:spacing w:val="-5"/>
          <w:sz w:val="24"/>
          <w:szCs w:val="24"/>
        </w:rPr>
        <w:t>审核，如果超过</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12</w:t>
      </w:r>
      <w:r>
        <w:rPr>
          <w:rFonts w:ascii="宋体" w:hAnsi="宋体" w:eastAsia="宋体" w:cs="宋体"/>
          <w:spacing w:val="-5"/>
          <w:sz w:val="24"/>
          <w:szCs w:val="24"/>
        </w:rPr>
        <w:t>个月没有实施，则在第</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12</w:t>
      </w:r>
      <w:r>
        <w:rPr>
          <w:rFonts w:ascii="宋体" w:hAnsi="宋体" w:eastAsia="宋体" w:cs="宋体"/>
          <w:spacing w:val="-5"/>
          <w:sz w:val="24"/>
          <w:szCs w:val="24"/>
        </w:rPr>
        <w:t>个月期满时向客户发暂停通知书（一般为</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3</w:t>
      </w:r>
      <w:r>
        <w:rPr>
          <w:rFonts w:ascii="宋体" w:hAnsi="宋体" w:eastAsia="宋体" w:cs="宋体"/>
          <w:spacing w:val="-5"/>
          <w:sz w:val="24"/>
          <w:szCs w:val="24"/>
        </w:rPr>
        <w:t>个</w:t>
      </w:r>
      <w:r>
        <w:rPr>
          <w:rFonts w:ascii="宋体" w:hAnsi="宋体" w:eastAsia="宋体" w:cs="宋体"/>
          <w:spacing w:val="-3"/>
          <w:sz w:val="24"/>
          <w:szCs w:val="24"/>
        </w:rPr>
        <w:t>月，最长不超过</w:t>
      </w:r>
      <w:r>
        <w:rPr>
          <w:rFonts w:ascii="Times New Roman" w:hAnsi="Times New Roman" w:eastAsia="Times New Roman" w:cs="Times New Roman"/>
          <w:spacing w:val="-3"/>
          <w:sz w:val="24"/>
          <w:szCs w:val="24"/>
        </w:rPr>
        <w:t>6</w:t>
      </w:r>
      <w:r>
        <w:rPr>
          <w:rFonts w:ascii="宋体" w:hAnsi="宋体" w:eastAsia="宋体" w:cs="宋体"/>
          <w:spacing w:val="-3"/>
          <w:sz w:val="24"/>
          <w:szCs w:val="24"/>
        </w:rPr>
        <w:t>个月</w:t>
      </w:r>
      <w:r>
        <w:rPr>
          <w:rFonts w:ascii="宋体" w:hAnsi="宋体" w:eastAsia="宋体" w:cs="宋体"/>
          <w:spacing w:val="-16"/>
          <w:sz w:val="24"/>
          <w:szCs w:val="24"/>
        </w:rPr>
        <w:t>）；</w:t>
      </w:r>
      <w:r>
        <w:rPr>
          <w:rFonts w:ascii="宋体" w:hAnsi="宋体" w:eastAsia="宋体" w:cs="宋体"/>
          <w:spacing w:val="-3"/>
          <w:sz w:val="24"/>
          <w:szCs w:val="24"/>
        </w:rPr>
        <w:t>在暂停到期前，当造成暂停的原因得到消除后，既可恢复被暂停</w:t>
      </w:r>
      <w:r>
        <w:rPr>
          <w:rFonts w:ascii="宋体" w:hAnsi="宋体" w:eastAsia="宋体" w:cs="宋体"/>
          <w:spacing w:val="-1"/>
          <w:sz w:val="24"/>
          <w:szCs w:val="24"/>
        </w:rPr>
        <w:t>客户的认证注册资格。恢复认证注册资格由中盛</w:t>
      </w:r>
      <w:r>
        <w:rPr>
          <w:rFonts w:hint="eastAsia" w:ascii="宋体" w:hAnsi="宋体" w:cs="宋体"/>
          <w:spacing w:val="-1"/>
          <w:sz w:val="24"/>
          <w:szCs w:val="24"/>
          <w:lang w:eastAsia="zh-CN"/>
        </w:rPr>
        <w:t>技术部</w:t>
      </w:r>
      <w:r>
        <w:rPr>
          <w:rFonts w:ascii="宋体" w:hAnsi="宋体" w:eastAsia="宋体" w:cs="宋体"/>
          <w:spacing w:val="-1"/>
          <w:sz w:val="24"/>
          <w:szCs w:val="24"/>
        </w:rPr>
        <w:t>批</w:t>
      </w:r>
      <w:r>
        <w:rPr>
          <w:rFonts w:ascii="宋体" w:hAnsi="宋体" w:eastAsia="宋体" w:cs="宋体"/>
          <w:spacing w:val="-2"/>
          <w:sz w:val="24"/>
          <w:szCs w:val="24"/>
        </w:rPr>
        <w:t>准并办理。恢复决定应在暂停</w:t>
      </w:r>
      <w:r>
        <w:rPr>
          <w:rFonts w:ascii="宋体" w:hAnsi="宋体" w:eastAsia="宋体" w:cs="宋体"/>
          <w:spacing w:val="-1"/>
          <w:sz w:val="24"/>
          <w:szCs w:val="24"/>
        </w:rPr>
        <w:t>到期前作出，并给客户发出《认证证书和标志恢复使用通</w:t>
      </w:r>
      <w:r>
        <w:rPr>
          <w:rFonts w:ascii="宋体" w:hAnsi="宋体" w:eastAsia="宋体" w:cs="宋体"/>
          <w:spacing w:val="-2"/>
          <w:sz w:val="24"/>
          <w:szCs w:val="24"/>
        </w:rPr>
        <w:t>知书》。对在暂停期限内未能恢复</w:t>
      </w:r>
      <w:r>
        <w:rPr>
          <w:rFonts w:ascii="宋体" w:hAnsi="宋体" w:eastAsia="宋体" w:cs="宋体"/>
          <w:spacing w:val="-7"/>
          <w:sz w:val="24"/>
          <w:szCs w:val="24"/>
        </w:rPr>
        <w:t>认证注册资格的，进入撤消程序，予以撤消；</w:t>
      </w:r>
    </w:p>
    <w:p>
      <w:pPr>
        <w:keepNext w:val="0"/>
        <w:keepLines w:val="0"/>
        <w:pageBreakBefore w:val="0"/>
        <w:widowControl w:val="0"/>
        <w:kinsoku/>
        <w:wordWrap/>
        <w:overflowPunct/>
        <w:topLinePunct w:val="0"/>
        <w:autoSpaceDE/>
        <w:autoSpaceDN/>
        <w:bidi w:val="0"/>
        <w:adjustRightInd/>
        <w:snapToGrid/>
        <w:spacing w:before="97" w:line="269" w:lineRule="auto"/>
        <w:ind w:left="15" w:leftChars="7" w:right="6" w:rightChars="3" w:firstLine="2" w:firstLineChars="1"/>
        <w:jc w:val="left"/>
        <w:textAlignment w:val="auto"/>
        <w:outlineLvl w:val="9"/>
        <w:rPr>
          <w:rFonts w:ascii="宋体" w:hAnsi="宋体" w:eastAsia="宋体" w:cs="宋体"/>
          <w:sz w:val="24"/>
          <w:szCs w:val="24"/>
        </w:rPr>
      </w:pPr>
      <w:r>
        <w:rPr>
          <w:sz w:val="24"/>
          <w:szCs w:val="24"/>
        </w:rPr>
        <w:fldChar w:fldCharType="begin"/>
      </w:r>
      <w:r>
        <w:rPr>
          <w:sz w:val="24"/>
          <w:szCs w:val="24"/>
        </w:rPr>
        <w:instrText xml:space="preserve"> HYPERLINK "2.7.1.2"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9</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获证客户未经中盛批准，对获准认证的体系进行了更改，且该项</w:t>
      </w:r>
      <w:r>
        <w:rPr>
          <w:rFonts w:ascii="宋体" w:hAnsi="宋体" w:eastAsia="宋体" w:cs="宋体"/>
          <w:spacing w:val="-5"/>
          <w:sz w:val="24"/>
          <w:szCs w:val="24"/>
        </w:rPr>
        <w:t>更改影响到体系认证资</w:t>
      </w:r>
      <w:r>
        <w:rPr>
          <w:rFonts w:hint="eastAsia" w:ascii="宋体" w:hAnsi="宋体" w:cs="宋体"/>
          <w:spacing w:val="-5"/>
          <w:sz w:val="24"/>
          <w:szCs w:val="24"/>
          <w:lang w:val="en-US" w:eastAsia="zh-CN"/>
        </w:rPr>
        <w:t xml:space="preserve"> </w:t>
      </w:r>
      <w:r>
        <w:rPr>
          <w:rFonts w:ascii="宋体" w:hAnsi="宋体" w:eastAsia="宋体" w:cs="宋体"/>
          <w:spacing w:val="-5"/>
          <w:sz w:val="24"/>
          <w:szCs w:val="24"/>
        </w:rPr>
        <w:t>格的；</w:t>
      </w:r>
    </w:p>
    <w:p>
      <w:pPr>
        <w:keepNext w:val="0"/>
        <w:keepLines w:val="0"/>
        <w:pageBreakBefore w:val="0"/>
        <w:widowControl w:val="0"/>
        <w:kinsoku/>
        <w:wordWrap/>
        <w:overflowPunct/>
        <w:topLinePunct w:val="0"/>
        <w:autoSpaceDE/>
        <w:autoSpaceDN/>
        <w:bidi w:val="0"/>
        <w:adjustRightInd/>
        <w:snapToGrid/>
        <w:spacing w:before="97" w:line="269"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"2.7.1.3"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9</w:t>
      </w:r>
      <w:r>
        <w:rPr>
          <w:rFonts w:ascii="Times New Roman" w:hAnsi="Times New Roman" w:eastAsia="Times New Roman" w:cs="Times New Roman"/>
          <w:spacing w:val="-1"/>
          <w:sz w:val="24"/>
          <w:szCs w:val="24"/>
        </w:rPr>
        <w:t>.1.3</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监督检查发现获证客户的管理体系达不到规定的要求，但严重程度尚不构成撤销体系认证资</w:t>
      </w:r>
      <w:r>
        <w:rPr>
          <w:rFonts w:ascii="宋体" w:hAnsi="宋体" w:eastAsia="宋体" w:cs="宋体"/>
          <w:spacing w:val="-13"/>
          <w:sz w:val="24"/>
          <w:szCs w:val="24"/>
        </w:rPr>
        <w:t>格的；</w:t>
      </w:r>
    </w:p>
    <w:p>
      <w:pPr>
        <w:keepNext w:val="0"/>
        <w:keepLines w:val="0"/>
        <w:pageBreakBefore w:val="0"/>
        <w:widowControl w:val="0"/>
        <w:kinsoku/>
        <w:wordWrap/>
        <w:overflowPunct/>
        <w:topLinePunct w:val="0"/>
        <w:autoSpaceDE/>
        <w:autoSpaceDN/>
        <w:bidi w:val="0"/>
        <w:adjustRightInd/>
        <w:snapToGrid/>
        <w:spacing w:before="97" w:line="269"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"2.7.1.4"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9</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
          <w:sz w:val="24"/>
          <w:szCs w:val="24"/>
        </w:rPr>
        <w:t>1.4</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获证客户对监督</w:t>
      </w:r>
      <w:r>
        <w:rPr>
          <w:rFonts w:ascii="Times New Roman" w:hAnsi="Times New Roman" w:eastAsia="Times New Roman" w:cs="Times New Roman"/>
          <w:spacing w:val="4"/>
          <w:sz w:val="24"/>
          <w:szCs w:val="24"/>
        </w:rPr>
        <w:t>/</w:t>
      </w:r>
      <w:r>
        <w:rPr>
          <w:rFonts w:ascii="宋体" w:hAnsi="宋体" w:eastAsia="宋体" w:cs="宋体"/>
          <w:spacing w:val="4"/>
          <w:sz w:val="24"/>
          <w:szCs w:val="24"/>
        </w:rPr>
        <w:t>再认</w:t>
      </w:r>
      <w:r>
        <w:rPr>
          <w:rFonts w:ascii="宋体" w:hAnsi="宋体" w:eastAsia="宋体" w:cs="宋体"/>
          <w:spacing w:val="3"/>
          <w:sz w:val="24"/>
          <w:szCs w:val="24"/>
        </w:rPr>
        <w:t>证时发现的不符合项未在中盛要求的期限内采取有效的纠正措施的；</w:t>
      </w:r>
      <w:r>
        <w:rPr>
          <w:rFonts w:ascii="宋体" w:hAnsi="宋体" w:eastAsia="宋体" w:cs="宋体"/>
          <w:spacing w:val="-9"/>
          <w:sz w:val="24"/>
          <w:szCs w:val="24"/>
        </w:rPr>
        <w:t>（注：若不符合项仅使获证范围内的部分产品</w:t>
      </w:r>
      <w:r>
        <w:rPr>
          <w:rFonts w:ascii="Times New Roman" w:hAnsi="Times New Roman" w:eastAsia="Times New Roman" w:cs="Times New Roman"/>
          <w:spacing w:val="-9"/>
          <w:sz w:val="24"/>
          <w:szCs w:val="24"/>
        </w:rPr>
        <w:t>/</w:t>
      </w:r>
      <w:r>
        <w:rPr>
          <w:rFonts w:ascii="宋体" w:hAnsi="宋体" w:eastAsia="宋体" w:cs="宋体"/>
          <w:spacing w:val="-9"/>
          <w:sz w:val="24"/>
          <w:szCs w:val="24"/>
        </w:rPr>
        <w:t>场所的管理体系失效的，</w:t>
      </w:r>
      <w:r>
        <w:rPr>
          <w:rFonts w:ascii="宋体" w:hAnsi="宋体" w:eastAsia="宋体" w:cs="宋体"/>
          <w:spacing w:val="-27"/>
          <w:sz w:val="24"/>
          <w:szCs w:val="24"/>
        </w:rPr>
        <w:t xml:space="preserve"> </w:t>
      </w:r>
      <w:r>
        <w:rPr>
          <w:rFonts w:ascii="宋体" w:hAnsi="宋体" w:eastAsia="宋体" w:cs="宋体"/>
          <w:spacing w:val="-9"/>
          <w:sz w:val="24"/>
          <w:szCs w:val="24"/>
        </w:rPr>
        <w:t>也可不全部暂停，而</w:t>
      </w:r>
      <w:r>
        <w:rPr>
          <w:rFonts w:ascii="宋体" w:hAnsi="宋体" w:eastAsia="宋体" w:cs="宋体"/>
          <w:spacing w:val="-16"/>
          <w:sz w:val="24"/>
          <w:szCs w:val="24"/>
        </w:rPr>
        <w:t>予缩小认证范围。）</w:t>
      </w:r>
    </w:p>
    <w:p>
      <w:pPr>
        <w:keepNext w:val="0"/>
        <w:keepLines w:val="0"/>
        <w:pageBreakBefore w:val="0"/>
        <w:widowControl w:val="0"/>
        <w:kinsoku/>
        <w:wordWrap/>
        <w:overflowPunct/>
        <w:topLinePunct w:val="0"/>
        <w:autoSpaceDE/>
        <w:autoSpaceDN/>
        <w:bidi w:val="0"/>
        <w:adjustRightInd/>
        <w:snapToGrid/>
        <w:spacing w:before="98" w:line="269"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"2.7.1.5"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9</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发现获证客户在广告和有关宣传材料中对认证制度的不正确宣传或认证证书和标志的使用</w:t>
      </w:r>
      <w:r>
        <w:rPr>
          <w:rFonts w:ascii="宋体" w:hAnsi="宋体" w:eastAsia="宋体" w:cs="宋体"/>
          <w:spacing w:val="-1"/>
          <w:sz w:val="24"/>
          <w:szCs w:val="24"/>
        </w:rPr>
        <w:t>不符合中盛规定的，且经指出后未采取纠正措施的；</w:t>
      </w:r>
    </w:p>
    <w:p>
      <w:pPr>
        <w:keepNext w:val="0"/>
        <w:keepLines w:val="0"/>
        <w:pageBreakBefore w:val="0"/>
        <w:widowControl w:val="0"/>
        <w:kinsoku/>
        <w:wordWrap/>
        <w:overflowPunct/>
        <w:topLinePunct w:val="0"/>
        <w:autoSpaceDE/>
        <w:autoSpaceDN/>
        <w:bidi w:val="0"/>
        <w:adjustRightInd/>
        <w:snapToGrid/>
        <w:spacing w:before="98" w:line="269"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"2.7.1.6"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9</w:t>
      </w:r>
      <w:r>
        <w:rPr>
          <w:rFonts w:ascii="Times New Roman" w:hAnsi="Times New Roman" w:eastAsia="Times New Roman" w:cs="Times New Roman"/>
          <w:spacing w:val="-1"/>
          <w:sz w:val="24"/>
          <w:szCs w:val="24"/>
        </w:rPr>
        <w:t>.1.6</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获证客户未按期交纳认证费用且经指出后未予纠正的；</w:t>
      </w:r>
    </w:p>
    <w:p>
      <w:pPr>
        <w:keepNext w:val="0"/>
        <w:keepLines w:val="0"/>
        <w:pageBreakBefore w:val="0"/>
        <w:widowControl w:val="0"/>
        <w:kinsoku/>
        <w:wordWrap/>
        <w:overflowPunct/>
        <w:topLinePunct w:val="0"/>
        <w:autoSpaceDE/>
        <w:autoSpaceDN/>
        <w:bidi w:val="0"/>
        <w:adjustRightInd/>
        <w:snapToGrid/>
        <w:spacing w:before="98" w:line="269"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"2.7.1.7"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9</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1.7</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rPr>
          <w:rFonts w:ascii="宋体" w:hAnsi="宋体" w:eastAsia="宋体" w:cs="宋体"/>
          <w:sz w:val="24"/>
          <w:szCs w:val="24"/>
        </w:rPr>
        <w:t>发生其它违反管理体系认证规则情况</w:t>
      </w:r>
      <w:r>
        <w:rPr>
          <w:rFonts w:ascii="宋体" w:hAnsi="宋体" w:eastAsia="宋体" w:cs="宋体"/>
          <w:spacing w:val="-1"/>
          <w:sz w:val="24"/>
          <w:szCs w:val="24"/>
        </w:rPr>
        <w:t>的。</w:t>
      </w:r>
    </w:p>
    <w:p>
      <w:pPr>
        <w:keepNext w:val="0"/>
        <w:keepLines w:val="0"/>
        <w:pageBreakBefore w:val="0"/>
        <w:widowControl w:val="0"/>
        <w:kinsoku/>
        <w:wordWrap/>
        <w:overflowPunct/>
        <w:topLinePunct w:val="0"/>
        <w:autoSpaceDE/>
        <w:autoSpaceDN/>
        <w:bidi w:val="0"/>
        <w:adjustRightInd/>
        <w:snapToGrid/>
        <w:spacing w:before="98" w:line="269" w:lineRule="auto"/>
        <w:ind w:left="15" w:leftChars="7" w:right="6" w:rightChars="3" w:firstLine="2" w:firstLineChars="1"/>
        <w:textAlignment w:val="auto"/>
        <w:rPr>
          <w:rFonts w:ascii="宋体" w:hAnsi="宋体" w:eastAsia="宋体" w:cs="宋体"/>
          <w:sz w:val="24"/>
          <w:szCs w:val="24"/>
        </w:rPr>
      </w:pPr>
      <w:r>
        <w:rPr>
          <w:rFonts w:ascii="宋体" w:hAnsi="宋体" w:eastAsia="宋体" w:cs="宋体"/>
          <w:sz w:val="24"/>
          <w:szCs w:val="24"/>
        </w:rPr>
        <w:t>当发生上述各条件之一的情况，若情节较轻，或只在某些部分</w:t>
      </w:r>
      <w:r>
        <w:rPr>
          <w:rFonts w:ascii="宋体" w:hAnsi="宋体" w:eastAsia="宋体" w:cs="宋体"/>
          <w:spacing w:val="-1"/>
          <w:sz w:val="24"/>
          <w:szCs w:val="24"/>
        </w:rPr>
        <w:t>发现问题， 则可按</w:t>
      </w:r>
      <w:r>
        <w:rPr>
          <w:rFonts w:ascii="Times New Roman" w:hAnsi="Times New Roman" w:eastAsia="Times New Roman" w:cs="Times New Roman"/>
          <w:spacing w:val="-1"/>
          <w:sz w:val="24"/>
          <w:szCs w:val="24"/>
        </w:rPr>
        <w:t>“</w:t>
      </w:r>
      <w:r>
        <w:rPr>
          <w:rFonts w:ascii="宋体" w:hAnsi="宋体" w:eastAsia="宋体" w:cs="宋体"/>
          <w:spacing w:val="-1"/>
          <w:sz w:val="24"/>
          <w:szCs w:val="24"/>
        </w:rPr>
        <w:t>部分暂停</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处理。暂停期限根据情况的不同可为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个月。</w:t>
      </w:r>
    </w:p>
    <w:p>
      <w:pPr>
        <w:keepNext w:val="0"/>
        <w:keepLines w:val="0"/>
        <w:pageBreakBefore w:val="0"/>
        <w:widowControl w:val="0"/>
        <w:kinsoku/>
        <w:wordWrap/>
        <w:overflowPunct/>
        <w:topLinePunct w:val="0"/>
        <w:autoSpaceDE/>
        <w:autoSpaceDN/>
        <w:bidi w:val="0"/>
        <w:adjustRightInd/>
        <w:snapToGrid/>
        <w:spacing w:before="97" w:line="269" w:lineRule="auto"/>
        <w:ind w:left="15" w:leftChars="7" w:right="6" w:rightChars="3" w:firstLine="2" w:firstLineChars="1"/>
        <w:textAlignment w:val="auto"/>
        <w:rPr>
          <w:rFonts w:ascii="宋体" w:hAnsi="宋体" w:eastAsia="宋体" w:cs="宋体"/>
          <w:sz w:val="24"/>
          <w:szCs w:val="24"/>
        </w:rPr>
      </w:pPr>
      <w:r>
        <w:rPr>
          <w:rFonts w:hint="eastAsia" w:cs="Times New Roman"/>
          <w:spacing w:val="-2"/>
          <w:sz w:val="24"/>
          <w:szCs w:val="24"/>
          <w:lang w:val="en-US" w:eastAsia="zh-CN"/>
        </w:rPr>
        <w:t>11.10</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当获证客户符合暂停条件时，由中盛</w:t>
      </w:r>
      <w:r>
        <w:rPr>
          <w:rFonts w:hint="eastAsia" w:ascii="宋体" w:hAnsi="宋体" w:cs="宋体"/>
          <w:spacing w:val="-2"/>
          <w:sz w:val="24"/>
          <w:szCs w:val="24"/>
          <w:lang w:eastAsia="zh-CN"/>
        </w:rPr>
        <w:t>技术部</w:t>
      </w:r>
      <w:r>
        <w:rPr>
          <w:rFonts w:ascii="宋体" w:hAnsi="宋体" w:eastAsia="宋体" w:cs="宋体"/>
          <w:spacing w:val="-2"/>
          <w:sz w:val="24"/>
          <w:szCs w:val="24"/>
        </w:rPr>
        <w:t>提出，经总经理批准。</w:t>
      </w:r>
      <w:r>
        <w:rPr>
          <w:rFonts w:hint="eastAsia" w:ascii="宋体" w:hAnsi="宋体" w:cs="宋体"/>
          <w:spacing w:val="-3"/>
          <w:sz w:val="24"/>
          <w:szCs w:val="24"/>
          <w:lang w:eastAsia="zh-CN"/>
        </w:rPr>
        <w:t>技术部</w:t>
      </w:r>
      <w:r>
        <w:rPr>
          <w:rFonts w:ascii="宋体" w:hAnsi="宋体" w:eastAsia="宋体" w:cs="宋体"/>
          <w:spacing w:val="-3"/>
          <w:sz w:val="24"/>
          <w:szCs w:val="24"/>
        </w:rPr>
        <w:t>向获证客户</w:t>
      </w:r>
      <w:r>
        <w:rPr>
          <w:rFonts w:ascii="宋体" w:hAnsi="宋体" w:eastAsia="宋体" w:cs="宋体"/>
          <w:sz w:val="24"/>
          <w:szCs w:val="24"/>
        </w:rPr>
        <w:t xml:space="preserve"> </w:t>
      </w:r>
      <w:r>
        <w:rPr>
          <w:rFonts w:ascii="宋体" w:hAnsi="宋体" w:eastAsia="宋体" w:cs="宋体"/>
          <w:spacing w:val="-7"/>
          <w:sz w:val="24"/>
          <w:szCs w:val="24"/>
        </w:rPr>
        <w:t>发出《认证证书和标志暂停使用通知书》。获证客户应停止认证证书的使用和对外宣传，</w:t>
      </w:r>
      <w:r>
        <w:rPr>
          <w:rFonts w:ascii="宋体" w:hAnsi="宋体" w:eastAsia="宋体" w:cs="宋体"/>
          <w:spacing w:val="-46"/>
          <w:sz w:val="24"/>
          <w:szCs w:val="24"/>
        </w:rPr>
        <w:t xml:space="preserve"> </w:t>
      </w:r>
      <w:r>
        <w:rPr>
          <w:rFonts w:ascii="宋体" w:hAnsi="宋体" w:eastAsia="宋体" w:cs="宋体"/>
          <w:spacing w:val="-7"/>
          <w:sz w:val="24"/>
          <w:szCs w:val="24"/>
        </w:rPr>
        <w:t>并按</w:t>
      </w:r>
      <w:r>
        <w:rPr>
          <w:rFonts w:ascii="宋体" w:hAnsi="宋体" w:eastAsia="宋体" w:cs="宋体"/>
          <w:spacing w:val="-1"/>
          <w:sz w:val="24"/>
          <w:szCs w:val="24"/>
        </w:rPr>
        <w:t>要求将认证证书寄回中盛。</w:t>
      </w:r>
    </w:p>
    <w:p>
      <w:pPr>
        <w:keepNext w:val="0"/>
        <w:keepLines w:val="0"/>
        <w:pageBreakBefore w:val="0"/>
        <w:widowControl w:val="0"/>
        <w:kinsoku/>
        <w:wordWrap/>
        <w:overflowPunct/>
        <w:topLinePunct w:val="0"/>
        <w:autoSpaceDE/>
        <w:autoSpaceDN/>
        <w:bidi w:val="0"/>
        <w:adjustRightInd/>
        <w:snapToGrid/>
        <w:spacing w:before="98" w:line="269" w:lineRule="auto"/>
        <w:ind w:left="15" w:leftChars="7" w:right="6" w:rightChars="3" w:firstLine="2" w:firstLineChars="1"/>
        <w:textAlignment w:val="auto"/>
        <w:rPr>
          <w:rFonts w:ascii="宋体" w:hAnsi="宋体" w:eastAsia="宋体" w:cs="宋体"/>
          <w:sz w:val="24"/>
          <w:szCs w:val="24"/>
        </w:rPr>
      </w:pPr>
      <w:r>
        <w:rPr>
          <w:rFonts w:hint="eastAsia" w:cs="Times New Roman"/>
          <w:spacing w:val="-3"/>
          <w:sz w:val="24"/>
          <w:szCs w:val="24"/>
          <w:lang w:val="en-US" w:eastAsia="zh-CN"/>
        </w:rPr>
        <w:t>11</w:t>
      </w:r>
      <w:r>
        <w:rPr>
          <w:rFonts w:ascii="Times New Roman" w:hAnsi="Times New Roman" w:eastAsia="Times New Roman" w:cs="Times New Roman"/>
          <w:spacing w:val="-3"/>
          <w:sz w:val="24"/>
          <w:szCs w:val="24"/>
        </w:rPr>
        <w:t>.</w:t>
      </w:r>
      <w:r>
        <w:rPr>
          <w:rFonts w:hint="eastAsia" w:cs="Times New Roman"/>
          <w:spacing w:val="-3"/>
          <w:sz w:val="24"/>
          <w:szCs w:val="24"/>
          <w:lang w:val="en-US" w:eastAsia="zh-CN"/>
        </w:rPr>
        <w:t>10</w:t>
      </w:r>
      <w:r>
        <w:rPr>
          <w:rFonts w:ascii="Times New Roman" w:hAnsi="Times New Roman" w:eastAsia="Times New Roman" w:cs="Times New Roman"/>
          <w:spacing w:val="-3"/>
          <w:sz w:val="24"/>
          <w:szCs w:val="24"/>
        </w:rPr>
        <w:t>.</w:t>
      </w:r>
      <w:r>
        <w:rPr>
          <w:rFonts w:hint="eastAsia" w:cs="Times New Roman"/>
          <w:spacing w:val="-3"/>
          <w:sz w:val="24"/>
          <w:szCs w:val="24"/>
          <w:lang w:val="en-US" w:eastAsia="zh-CN"/>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中盛将要求暂停客户采取纠正措施并在规定期限内对其纠正情况进行检查，当确认获证客户对</w:t>
      </w:r>
      <w:r>
        <w:rPr>
          <w:rFonts w:ascii="宋体" w:hAnsi="宋体" w:eastAsia="宋体" w:cs="宋体"/>
          <w:spacing w:val="-1"/>
          <w:sz w:val="24"/>
          <w:szCs w:val="24"/>
        </w:rPr>
        <w:t>违反规定的行为进行了有效的纠正后，将书面通知取消暂停，恢复其认证证书和标志的使用资格。</w:t>
      </w:r>
    </w:p>
    <w:p>
      <w:pPr>
        <w:keepNext w:val="0"/>
        <w:keepLines w:val="0"/>
        <w:pageBreakBefore w:val="0"/>
        <w:widowControl w:val="0"/>
        <w:kinsoku/>
        <w:wordWrap/>
        <w:overflowPunct/>
        <w:topLinePunct w:val="0"/>
        <w:autoSpaceDE/>
        <w:autoSpaceDN/>
        <w:bidi w:val="0"/>
        <w:adjustRightInd/>
        <w:snapToGrid/>
        <w:spacing w:before="99" w:line="269" w:lineRule="auto"/>
        <w:ind w:left="15" w:leftChars="7" w:right="6" w:rightChars="3" w:firstLine="2" w:firstLineChars="1"/>
        <w:textAlignment w:val="auto"/>
        <w:rPr>
          <w:rFonts w:ascii="宋体" w:hAnsi="宋体" w:eastAsia="宋体" w:cs="宋体"/>
          <w:sz w:val="24"/>
          <w:szCs w:val="24"/>
        </w:rPr>
      </w:pP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认证证书和标志的撤销</w:t>
      </w:r>
    </w:p>
    <w:p>
      <w:pPr>
        <w:keepNext w:val="0"/>
        <w:keepLines w:val="0"/>
        <w:pageBreakBefore w:val="0"/>
        <w:widowControl w:val="0"/>
        <w:kinsoku/>
        <w:wordWrap/>
        <w:overflowPunct/>
        <w:topLinePunct w:val="0"/>
        <w:autoSpaceDE/>
        <w:autoSpaceDN/>
        <w:bidi w:val="0"/>
        <w:adjustRightInd/>
        <w:snapToGrid/>
        <w:spacing w:before="99" w:line="269" w:lineRule="auto"/>
        <w:ind w:left="15" w:leftChars="7" w:right="6" w:rightChars="3" w:firstLine="2" w:firstLineChars="1"/>
        <w:jc w:val="left"/>
        <w:textAlignment w:val="auto"/>
        <w:rPr>
          <w:rFonts w:ascii="宋体" w:hAnsi="宋体" w:eastAsia="宋体" w:cs="宋体"/>
          <w:sz w:val="24"/>
          <w:szCs w:val="24"/>
        </w:rPr>
      </w:pP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在认证证书有效期内，发生下列情况之一时，中盛将</w:t>
      </w:r>
      <w:r>
        <w:rPr>
          <w:rFonts w:ascii="宋体" w:hAnsi="宋体" w:eastAsia="宋体" w:cs="宋体"/>
          <w:spacing w:val="-6"/>
          <w:sz w:val="24"/>
          <w:szCs w:val="24"/>
        </w:rPr>
        <w:t>撤销获证客户认证证书和标志的使用资格：</w:t>
      </w:r>
    </w:p>
    <w:p>
      <w:pPr>
        <w:keepNext w:val="0"/>
        <w:keepLines w:val="0"/>
        <w:pageBreakBefore w:val="0"/>
        <w:kinsoku/>
        <w:wordWrap/>
        <w:overflowPunct/>
        <w:topLinePunct w:val="0"/>
        <w:autoSpaceDE/>
        <w:autoSpaceDN/>
        <w:bidi w:val="0"/>
        <w:snapToGrid/>
        <w:spacing w:before="97" w:line="262"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"2.8.1.1"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5"/>
          <w:sz w:val="24"/>
          <w:szCs w:val="24"/>
        </w:rPr>
        <w:fldChar w:fldCharType="end"/>
      </w:r>
      <w:r>
        <w:rPr>
          <w:rFonts w:hint="eastAsia" w:ascii="Times New Roman" w:hAnsi="Times New Roman" w:cs="Times New Roman"/>
          <w:spacing w:val="-5"/>
          <w:sz w:val="24"/>
          <w:szCs w:val="24"/>
          <w:lang w:val="en-US" w:eastAsia="zh-CN"/>
        </w:rPr>
        <w:t xml:space="preserve"> </w:t>
      </w:r>
      <w:r>
        <w:rPr>
          <w:rFonts w:ascii="宋体" w:hAnsi="宋体" w:eastAsia="宋体" w:cs="宋体"/>
          <w:spacing w:val="-5"/>
          <w:sz w:val="24"/>
          <w:szCs w:val="24"/>
        </w:rPr>
        <w:t>中盛发出《认证证书和标志暂停使用通知书》后，获证客户未在规定的期限内采取纠</w:t>
      </w:r>
      <w:r>
        <w:rPr>
          <w:rFonts w:ascii="宋体" w:hAnsi="宋体" w:eastAsia="宋体" w:cs="宋体"/>
          <w:spacing w:val="-6"/>
          <w:sz w:val="24"/>
          <w:szCs w:val="24"/>
        </w:rPr>
        <w:t>正措施</w:t>
      </w:r>
      <w:r>
        <w:rPr>
          <w:rFonts w:ascii="宋体" w:hAnsi="宋体" w:eastAsia="宋体" w:cs="宋体"/>
          <w:spacing w:val="-5"/>
          <w:sz w:val="24"/>
          <w:szCs w:val="24"/>
        </w:rPr>
        <w:t>或未达到规定的要求；</w:t>
      </w:r>
    </w:p>
    <w:p>
      <w:pPr>
        <w:keepNext w:val="0"/>
        <w:keepLines w:val="0"/>
        <w:pageBreakBefore w:val="0"/>
        <w:kinsoku/>
        <w:wordWrap/>
        <w:overflowPunct/>
        <w:topLinePunct w:val="0"/>
        <w:autoSpaceDE/>
        <w:autoSpaceDN/>
        <w:bidi w:val="0"/>
        <w:snapToGrid/>
        <w:spacing w:before="97" w:line="220"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"2.8.1.2"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.1.2</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监督检查中发现体系存在严</w:t>
      </w:r>
      <w:r>
        <w:rPr>
          <w:rFonts w:ascii="宋体" w:hAnsi="宋体" w:eastAsia="宋体" w:cs="宋体"/>
          <w:spacing w:val="-2"/>
          <w:sz w:val="24"/>
          <w:szCs w:val="24"/>
        </w:rPr>
        <w:t>重不符合项的情况；</w:t>
      </w:r>
    </w:p>
    <w:p>
      <w:pPr>
        <w:keepNext w:val="0"/>
        <w:keepLines w:val="0"/>
        <w:pageBreakBefore w:val="0"/>
        <w:kinsoku/>
        <w:wordWrap/>
        <w:overflowPunct/>
        <w:topLinePunct w:val="0"/>
        <w:autoSpaceDE/>
        <w:autoSpaceDN/>
        <w:bidi w:val="0"/>
        <w:snapToGrid/>
        <w:spacing w:before="99" w:line="219"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"2.8.1.3"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pacing w:val="-2"/>
          <w:sz w:val="24"/>
          <w:szCs w:val="24"/>
        </w:rPr>
        <w:t>1.3</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获证客户自行转让认证证书；</w:t>
      </w:r>
    </w:p>
    <w:p>
      <w:pPr>
        <w:keepNext w:val="0"/>
        <w:keepLines w:val="0"/>
        <w:pageBreakBefore w:val="0"/>
        <w:kinsoku/>
        <w:wordWrap/>
        <w:overflowPunct/>
        <w:topLinePunct w:val="0"/>
        <w:autoSpaceDE/>
        <w:autoSpaceDN/>
        <w:bidi w:val="0"/>
        <w:snapToGrid/>
        <w:spacing w:before="98" w:line="220"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"2.8.1.4"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pacing w:val="-4"/>
          <w:sz w:val="24"/>
          <w:szCs w:val="24"/>
        </w:rPr>
        <w:t>.1.4</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用户普遍反映产品质量存在严重</w:t>
      </w:r>
      <w:r>
        <w:rPr>
          <w:rFonts w:ascii="宋体" w:hAnsi="宋体" w:eastAsia="宋体" w:cs="宋体"/>
          <w:spacing w:val="-5"/>
          <w:sz w:val="24"/>
          <w:szCs w:val="24"/>
        </w:rPr>
        <w:t>问题，且造成严重后果（适用于质量管理体系认证</w:t>
      </w:r>
      <w:r>
        <w:rPr>
          <w:rFonts w:ascii="宋体" w:hAnsi="宋体" w:eastAsia="宋体" w:cs="宋体"/>
          <w:spacing w:val="-16"/>
          <w:sz w:val="24"/>
          <w:szCs w:val="24"/>
        </w:rPr>
        <w:t>）；</w:t>
      </w:r>
    </w:p>
    <w:p>
      <w:pPr>
        <w:keepNext w:val="0"/>
        <w:keepLines w:val="0"/>
        <w:pageBreakBefore w:val="0"/>
        <w:kinsoku/>
        <w:wordWrap/>
        <w:overflowPunct/>
        <w:topLinePunct w:val="0"/>
        <w:autoSpaceDE/>
        <w:autoSpaceDN/>
        <w:bidi w:val="0"/>
        <w:snapToGrid/>
        <w:spacing w:before="98" w:line="220"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"2.8.1.5"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pacing w:val="-2"/>
          <w:sz w:val="24"/>
          <w:szCs w:val="24"/>
        </w:rPr>
        <w:t>.1.5</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发生重大环境事故或安全事故（适用于环境管理体系认证或职业健康安全管理体系认证</w:t>
      </w:r>
      <w:r>
        <w:rPr>
          <w:rFonts w:ascii="宋体" w:hAnsi="宋体" w:eastAsia="宋体" w:cs="宋体"/>
          <w:spacing w:val="-18"/>
          <w:sz w:val="24"/>
          <w:szCs w:val="24"/>
        </w:rPr>
        <w:t>）；</w:t>
      </w:r>
    </w:p>
    <w:p>
      <w:pPr>
        <w:keepNext w:val="0"/>
        <w:keepLines w:val="0"/>
        <w:pageBreakBefore w:val="0"/>
        <w:kinsoku/>
        <w:wordWrap/>
        <w:overflowPunct/>
        <w:topLinePunct w:val="0"/>
        <w:autoSpaceDE/>
        <w:autoSpaceDN/>
        <w:bidi w:val="0"/>
        <w:snapToGrid/>
        <w:spacing w:before="98" w:line="220"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"2.8.1.6"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pacing w:val="-2"/>
          <w:sz w:val="24"/>
          <w:szCs w:val="24"/>
        </w:rPr>
        <w:t>.1.6</w:t>
      </w:r>
      <w:r>
        <w:rPr>
          <w:rFonts w:ascii="Times New Roman" w:hAnsi="Times New Roman" w:eastAsia="Times New Roman" w:cs="Times New Roman"/>
          <w:spacing w:val="-2"/>
          <w:sz w:val="24"/>
          <w:szCs w:val="24"/>
        </w:rPr>
        <w:fldChar w:fldCharType="end"/>
      </w:r>
      <w:r>
        <w:rPr>
          <w:rFonts w:ascii="宋体" w:hAnsi="宋体" w:eastAsia="宋体" w:cs="宋体"/>
          <w:spacing w:val="-2"/>
          <w:sz w:val="24"/>
          <w:szCs w:val="24"/>
        </w:rPr>
        <w:t>由于体系认证标准发生变更，获证客户不愿或不能确保符合新的要求；</w:t>
      </w:r>
    </w:p>
    <w:p>
      <w:pPr>
        <w:keepNext w:val="0"/>
        <w:keepLines w:val="0"/>
        <w:pageBreakBefore w:val="0"/>
        <w:kinsoku/>
        <w:wordWrap/>
        <w:overflowPunct/>
        <w:topLinePunct w:val="0"/>
        <w:autoSpaceDE/>
        <w:autoSpaceDN/>
        <w:bidi w:val="0"/>
        <w:snapToGrid/>
        <w:spacing w:before="99" w:line="219"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"2.8.1.7"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z w:val="24"/>
          <w:szCs w:val="24"/>
        </w:rPr>
        <w:t>.1.7</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rPr>
          <w:rFonts w:ascii="宋体" w:hAnsi="宋体" w:eastAsia="宋体" w:cs="宋体"/>
          <w:sz w:val="24"/>
          <w:szCs w:val="24"/>
        </w:rPr>
        <w:t>在认证证书有效期届满时，获证客户未提出重新认证</w:t>
      </w:r>
      <w:r>
        <w:rPr>
          <w:rFonts w:ascii="宋体" w:hAnsi="宋体" w:eastAsia="宋体" w:cs="宋体"/>
          <w:spacing w:val="-1"/>
          <w:sz w:val="24"/>
          <w:szCs w:val="24"/>
        </w:rPr>
        <w:t>申请；</w:t>
      </w:r>
    </w:p>
    <w:p>
      <w:pPr>
        <w:keepNext w:val="0"/>
        <w:keepLines w:val="0"/>
        <w:pageBreakBefore w:val="0"/>
        <w:kinsoku/>
        <w:wordWrap/>
        <w:overflowPunct/>
        <w:topLinePunct w:val="0"/>
        <w:autoSpaceDE/>
        <w:autoSpaceDN/>
        <w:bidi w:val="0"/>
        <w:snapToGrid/>
        <w:spacing w:before="98" w:line="220" w:lineRule="auto"/>
        <w:ind w:left="15" w:leftChars="7" w:right="6" w:rightChars="3" w:firstLine="2" w:firstLineChars="1"/>
        <w:textAlignment w:val="auto"/>
        <w:rPr>
          <w:rFonts w:ascii="宋体" w:hAnsi="宋体" w:eastAsia="宋体" w:cs="宋体"/>
          <w:sz w:val="24"/>
          <w:szCs w:val="24"/>
        </w:rPr>
      </w:pPr>
      <w:r>
        <w:rPr>
          <w:sz w:val="24"/>
          <w:szCs w:val="24"/>
        </w:rPr>
        <w:fldChar w:fldCharType="begin"/>
      </w:r>
      <w:r>
        <w:rPr>
          <w:sz w:val="24"/>
          <w:szCs w:val="24"/>
        </w:rPr>
        <w:instrText xml:space="preserve"> HYPERLINK "2.8.1.8" </w:instrText>
      </w:r>
      <w:r>
        <w:rPr>
          <w:sz w:val="24"/>
          <w:szCs w:val="24"/>
        </w:rPr>
        <w:fldChar w:fldCharType="separate"/>
      </w: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z w:val="24"/>
          <w:szCs w:val="24"/>
        </w:rPr>
        <w:t>.1.8</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rPr>
          <w:rFonts w:ascii="宋体" w:hAnsi="宋体" w:eastAsia="宋体" w:cs="宋体"/>
          <w:sz w:val="24"/>
          <w:szCs w:val="24"/>
        </w:rPr>
        <w:t>获证客户正式提出不再保持认证注</w:t>
      </w:r>
      <w:r>
        <w:rPr>
          <w:rFonts w:ascii="宋体" w:hAnsi="宋体" w:eastAsia="宋体" w:cs="宋体"/>
          <w:spacing w:val="-1"/>
          <w:sz w:val="24"/>
          <w:szCs w:val="24"/>
        </w:rPr>
        <w:t>册资格。</w:t>
      </w:r>
    </w:p>
    <w:p>
      <w:pPr>
        <w:keepNext w:val="0"/>
        <w:keepLines w:val="0"/>
        <w:pageBreakBefore w:val="0"/>
        <w:kinsoku/>
        <w:wordWrap/>
        <w:overflowPunct/>
        <w:topLinePunct w:val="0"/>
        <w:autoSpaceDE/>
        <w:autoSpaceDN/>
        <w:bidi w:val="0"/>
        <w:snapToGrid/>
        <w:spacing w:before="98" w:line="260" w:lineRule="auto"/>
        <w:ind w:left="15" w:leftChars="7" w:right="6" w:rightChars="3" w:firstLine="2" w:firstLineChars="1"/>
        <w:textAlignment w:val="auto"/>
        <w:rPr>
          <w:rFonts w:ascii="宋体" w:hAnsi="宋体" w:eastAsia="宋体" w:cs="宋体"/>
          <w:sz w:val="24"/>
          <w:szCs w:val="24"/>
        </w:rPr>
      </w:pPr>
      <w:r>
        <w:rPr>
          <w:rFonts w:hint="eastAsia" w:cs="Times New Roman"/>
          <w:spacing w:val="-1"/>
          <w:sz w:val="24"/>
          <w:szCs w:val="24"/>
          <w:lang w:val="en-US" w:eastAsia="zh-CN"/>
        </w:rPr>
        <w:t>11</w:t>
      </w:r>
      <w:r>
        <w:rPr>
          <w:rFonts w:ascii="Times New Roman" w:hAnsi="Times New Roman" w:eastAsia="Times New Roman" w:cs="Times New Roman"/>
          <w:spacing w:val="-1"/>
          <w:sz w:val="24"/>
          <w:szCs w:val="24"/>
        </w:rPr>
        <w:t>.</w:t>
      </w:r>
      <w:r>
        <w:rPr>
          <w:rFonts w:hint="eastAsia" w:cs="Times New Roman"/>
          <w:spacing w:val="-1"/>
          <w:sz w:val="24"/>
          <w:szCs w:val="24"/>
          <w:lang w:val="en-US" w:eastAsia="zh-CN"/>
        </w:rPr>
        <w:t>11</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当获证客户符合撤销条件时，由中盛</w:t>
      </w:r>
      <w:r>
        <w:rPr>
          <w:rFonts w:hint="eastAsia" w:ascii="宋体" w:hAnsi="宋体" w:cs="宋体"/>
          <w:spacing w:val="-6"/>
          <w:sz w:val="24"/>
          <w:szCs w:val="24"/>
          <w:lang w:eastAsia="zh-CN"/>
        </w:rPr>
        <w:t>技术部</w:t>
      </w:r>
      <w:r>
        <w:rPr>
          <w:rFonts w:ascii="宋体" w:hAnsi="宋体" w:eastAsia="宋体" w:cs="宋体"/>
          <w:spacing w:val="-6"/>
          <w:sz w:val="24"/>
          <w:szCs w:val="24"/>
        </w:rPr>
        <w:t>提出报告，经总经理批准后，由</w:t>
      </w:r>
      <w:r>
        <w:rPr>
          <w:rFonts w:hint="eastAsia" w:ascii="宋体" w:hAnsi="宋体" w:cs="宋体"/>
          <w:spacing w:val="-6"/>
          <w:sz w:val="24"/>
          <w:szCs w:val="24"/>
          <w:lang w:eastAsia="zh-CN"/>
        </w:rPr>
        <w:t>技术部</w:t>
      </w:r>
      <w:r>
        <w:rPr>
          <w:rFonts w:ascii="宋体" w:hAnsi="宋体" w:eastAsia="宋体" w:cs="宋体"/>
          <w:spacing w:val="-7"/>
          <w:sz w:val="24"/>
          <w:szCs w:val="24"/>
        </w:rPr>
        <w:t>向</w:t>
      </w:r>
      <w:r>
        <w:rPr>
          <w:rFonts w:ascii="宋体" w:hAnsi="宋体" w:eastAsia="宋体" w:cs="宋体"/>
          <w:sz w:val="24"/>
          <w:szCs w:val="24"/>
        </w:rPr>
        <w:t>获证客户发出《认证证书和标志撤销通知书》并上网公告。被撤销认证证书的客户应立即</w:t>
      </w:r>
      <w:r>
        <w:rPr>
          <w:rFonts w:ascii="宋体" w:hAnsi="宋体" w:eastAsia="宋体" w:cs="宋体"/>
          <w:spacing w:val="-1"/>
          <w:sz w:val="24"/>
          <w:szCs w:val="24"/>
        </w:rPr>
        <w:t>停止认证证书的使用和对外宣传，并将认证证书寄回中盛。</w:t>
      </w:r>
    </w:p>
    <w:p>
      <w:pPr>
        <w:pStyle w:val="2"/>
        <w:spacing w:before="120" w:after="120"/>
        <w:rPr>
          <w:rStyle w:val="58"/>
          <w:b/>
          <w:bCs/>
          <w:szCs w:val="44"/>
        </w:rPr>
      </w:pPr>
      <w:bookmarkStart w:id="27" w:name="_Toc53087564"/>
      <w:r>
        <w:t>12.0</w:t>
      </w:r>
      <w:r>
        <w:rPr>
          <w:rStyle w:val="58"/>
          <w:b/>
          <w:bCs/>
          <w:szCs w:val="44"/>
        </w:rPr>
        <w:t>申诉和投诉的处理规定</w:t>
      </w:r>
      <w:bookmarkEnd w:id="27"/>
    </w:p>
    <w:p>
      <w:pPr>
        <w:spacing w:line="380" w:lineRule="exact"/>
        <w:rPr>
          <w:b/>
          <w:sz w:val="24"/>
        </w:rPr>
      </w:pPr>
      <w:r>
        <w:rPr>
          <w:b/>
          <w:sz w:val="24"/>
        </w:rPr>
        <w:t>12.1申诉和投诉处理原则</w:t>
      </w:r>
    </w:p>
    <w:p>
      <w:pPr>
        <w:widowControl/>
        <w:numPr>
          <w:ilvl w:val="0"/>
          <w:numId w:val="8"/>
        </w:numPr>
        <w:tabs>
          <w:tab w:val="left" w:pos="993"/>
          <w:tab w:val="clear" w:pos="0"/>
        </w:tabs>
        <w:spacing w:line="380" w:lineRule="exact"/>
        <w:ind w:left="992" w:leftChars="271" w:right="120" w:rightChars="57" w:hanging="423"/>
        <w:rPr>
          <w:kern w:val="0"/>
          <w:sz w:val="24"/>
        </w:rPr>
      </w:pPr>
      <w:r>
        <w:rPr>
          <w:kern w:val="0"/>
          <w:sz w:val="24"/>
        </w:rPr>
        <w:t>处理申诉和投诉以事实为依据，以国家相关法律法规及认证规则为准则；</w:t>
      </w:r>
    </w:p>
    <w:p>
      <w:pPr>
        <w:widowControl/>
        <w:numPr>
          <w:ilvl w:val="0"/>
          <w:numId w:val="8"/>
        </w:numPr>
        <w:tabs>
          <w:tab w:val="left" w:pos="993"/>
          <w:tab w:val="clear" w:pos="0"/>
        </w:tabs>
        <w:spacing w:line="380" w:lineRule="exact"/>
        <w:ind w:left="992" w:leftChars="271" w:right="120" w:rightChars="57" w:hanging="423"/>
        <w:rPr>
          <w:kern w:val="0"/>
          <w:sz w:val="24"/>
        </w:rPr>
      </w:pPr>
      <w:r>
        <w:rPr>
          <w:kern w:val="0"/>
          <w:sz w:val="24"/>
        </w:rPr>
        <w:t>申诉和投诉处理工作人员对其所获得的任何与申诉和投诉有关的非公开信息负有保密的责任；</w:t>
      </w:r>
    </w:p>
    <w:p>
      <w:pPr>
        <w:widowControl/>
        <w:numPr>
          <w:ilvl w:val="0"/>
          <w:numId w:val="8"/>
        </w:numPr>
        <w:tabs>
          <w:tab w:val="left" w:pos="993"/>
          <w:tab w:val="clear" w:pos="0"/>
        </w:tabs>
        <w:spacing w:line="380" w:lineRule="exact"/>
        <w:ind w:left="992" w:leftChars="271" w:right="120" w:rightChars="57" w:hanging="423"/>
        <w:rPr>
          <w:kern w:val="0"/>
          <w:sz w:val="24"/>
        </w:rPr>
      </w:pPr>
      <w:r>
        <w:rPr>
          <w:kern w:val="0"/>
          <w:sz w:val="24"/>
        </w:rPr>
        <w:t>参与申诉和投诉处理工作的有关工作人员须保持客观公正；</w:t>
      </w:r>
    </w:p>
    <w:p>
      <w:pPr>
        <w:widowControl/>
        <w:numPr>
          <w:ilvl w:val="0"/>
          <w:numId w:val="8"/>
        </w:numPr>
        <w:tabs>
          <w:tab w:val="left" w:pos="993"/>
          <w:tab w:val="clear" w:pos="0"/>
        </w:tabs>
        <w:spacing w:line="380" w:lineRule="exact"/>
        <w:ind w:left="992" w:leftChars="271" w:right="120" w:rightChars="57" w:hanging="423"/>
        <w:rPr>
          <w:sz w:val="24"/>
        </w:rPr>
      </w:pPr>
      <w:r>
        <w:rPr>
          <w:kern w:val="0"/>
          <w:sz w:val="24"/>
        </w:rPr>
        <w:t>与申诉和投诉事件有直接利害关系的工作人员须回避相关处理工作。</w:t>
      </w:r>
    </w:p>
    <w:p>
      <w:pPr>
        <w:spacing w:line="380" w:lineRule="exact"/>
        <w:ind w:firstLine="480" w:firstLineChars="200"/>
        <w:rPr>
          <w:sz w:val="24"/>
        </w:rPr>
      </w:pPr>
    </w:p>
    <w:p>
      <w:pPr>
        <w:spacing w:line="380" w:lineRule="exact"/>
        <w:rPr>
          <w:b/>
          <w:sz w:val="24"/>
        </w:rPr>
      </w:pPr>
      <w:r>
        <w:rPr>
          <w:b/>
          <w:sz w:val="24"/>
        </w:rPr>
        <w:t>12.2申诉和投诉处理流程</w:t>
      </w:r>
    </w:p>
    <w:p>
      <w:pPr>
        <w:spacing w:line="380" w:lineRule="exact"/>
        <w:rPr>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4457700</wp:posOffset>
                </wp:positionH>
                <wp:positionV relativeFrom="paragraph">
                  <wp:posOffset>193040</wp:posOffset>
                </wp:positionV>
                <wp:extent cx="1371600" cy="297180"/>
                <wp:effectExtent l="4445" t="4445" r="10795" b="18415"/>
                <wp:wrapNone/>
                <wp:docPr id="28" name="文本框 2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申诉/投诉决定反馈</w:t>
                            </w:r>
                          </w:p>
                        </w:txbxContent>
                      </wps:txbx>
                      <wps:bodyPr upright="1"/>
                    </wps:wsp>
                  </a:graphicData>
                </a:graphic>
              </wp:anchor>
            </w:drawing>
          </mc:Choice>
          <mc:Fallback>
            <w:pict>
              <v:shape id="_x0000_s1026" o:spid="_x0000_s1026" o:spt="202" type="#_x0000_t202" style="position:absolute;left:0pt;margin-left:351pt;margin-top:15.2pt;height:23.4pt;width:108pt;z-index:251662336;mso-width-relative:page;mso-height-relative:page;" fillcolor="#FFFFFF" filled="t" stroked="t" coordsize="21600,21600" o:gfxdata="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Ch5kNgAAAAJAQAADwAAAAAAAAABACAA&#10;AAAiAAAAZHJzL2Rvd25yZXYueG1sUEsBAhQAFAAAAAgAh07iQGgpBr0NAgAAOAQAAA4AAAAAAAAA&#10;AQAgAAAAJwEAAGRycy9lMm9Eb2MueG1sUEsFBgAAAAAGAAYAWQEAAKYFAAAAAA==&#10;">
                <v:fill on="t" focussize="0,0"/>
                <v:stroke color="#000000" joinstyle="miter"/>
                <v:imagedata o:title=""/>
                <o:lock v:ext="edit" aspectratio="f"/>
                <v:textbox>
                  <w:txbxContent>
                    <w:p>
                      <w:pPr>
                        <w:jc w:val="center"/>
                      </w:pPr>
                      <w:r>
                        <w:rPr>
                          <w:rFonts w:hint="eastAsia"/>
                        </w:rPr>
                        <w:t>申诉/投诉决定反馈</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193040</wp:posOffset>
                </wp:positionV>
                <wp:extent cx="1143000" cy="297180"/>
                <wp:effectExtent l="4445" t="4445" r="10795" b="18415"/>
                <wp:wrapNone/>
                <wp:docPr id="29" name="文本框 29"/>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申诉/投诉处理</w:t>
                            </w:r>
                          </w:p>
                        </w:txbxContent>
                      </wps:txbx>
                      <wps:bodyPr upright="1"/>
                    </wps:wsp>
                  </a:graphicData>
                </a:graphic>
              </wp:anchor>
            </w:drawing>
          </mc:Choice>
          <mc:Fallback>
            <w:pict>
              <v:shape id="_x0000_s1026" o:spid="_x0000_s1026" o:spt="202" type="#_x0000_t202" style="position:absolute;left:0pt;margin-left:234pt;margin-top:15.2pt;height:23.4pt;width:90pt;z-index:251661312;mso-width-relative:page;mso-height-relative:page;" fillcolor="#FFFFFF" filled="t" stroked="t" coordsize="21600,21600" o:gfxdata="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YbDJ2AAAAAkBAAAPAAAAAAAAAAEA&#10;IAAAACIAAABkcnMvZG93bnJldi54bWxQSwECFAAUAAAACACHTuJAEqsvmQ8CAAA4BAAADgAAAAAA&#10;AAABACAAAAAnAQAAZHJzL2Uyb0RvYy54bWxQSwUGAAAAAAYABgBZAQAAqAUAAAAA&#10;">
                <v:fill on="t" focussize="0,0"/>
                <v:stroke color="#000000" joinstyle="miter"/>
                <v:imagedata o:title=""/>
                <o:lock v:ext="edit" aspectratio="f"/>
                <v:textbox>
                  <w:txbxContent>
                    <w:p>
                      <w:pPr>
                        <w:jc w:val="center"/>
                      </w:pPr>
                      <w:r>
                        <w:rPr>
                          <w:rFonts w:hint="eastAsia"/>
                        </w:rPr>
                        <w:t>申诉/投诉处理</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193040</wp:posOffset>
                </wp:positionV>
                <wp:extent cx="1143000" cy="297180"/>
                <wp:effectExtent l="4445" t="4445" r="10795" b="18415"/>
                <wp:wrapNone/>
                <wp:docPr id="30" name="文本框 30"/>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申诉/投诉受理</w:t>
                            </w:r>
                          </w:p>
                        </w:txbxContent>
                      </wps:txbx>
                      <wps:bodyPr upright="1"/>
                    </wps:wsp>
                  </a:graphicData>
                </a:graphic>
              </wp:anchor>
            </w:drawing>
          </mc:Choice>
          <mc:Fallback>
            <w:pict>
              <v:shape id="_x0000_s1026" o:spid="_x0000_s1026" o:spt="202" type="#_x0000_t202" style="position:absolute;left:0pt;margin-left:117pt;margin-top:15.2pt;height:23.4pt;width:90pt;z-index:251660288;mso-width-relative:page;mso-height-relative:page;" fillcolor="#FFFFFF" filled="t" stroked="t" coordsize="21600,21600" o:gfxdata="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o0tIbYAAAACQEAAA8AAAAAAAAAAQAg&#10;AAAAIgAAAGRycy9kb3ducmV2LnhtbFBLAQIUABQAAAAIAIdO4kC7oU/IDgIAADgEAAAOAAAAAAAA&#10;AAEAIAAAACcBAABkcnMvZTJvRG9jLnhtbFBLBQYAAAAABgAGAFkBAACnBQAAAAA=&#10;">
                <v:fill on="t" focussize="0,0"/>
                <v:stroke color="#000000" joinstyle="miter"/>
                <v:imagedata o:title=""/>
                <o:lock v:ext="edit" aspectratio="f"/>
                <v:textbox>
                  <w:txbxContent>
                    <w:p>
                      <w:pPr>
                        <w:jc w:val="center"/>
                      </w:pPr>
                      <w:r>
                        <w:rPr>
                          <w:rFonts w:hint="eastAsia"/>
                        </w:rPr>
                        <w:t>申诉/投诉受理</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193040</wp:posOffset>
                </wp:positionV>
                <wp:extent cx="1143000" cy="297180"/>
                <wp:effectExtent l="4445" t="4445" r="10795" b="18415"/>
                <wp:wrapNone/>
                <wp:docPr id="1" name="文本框 1"/>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申诉/投诉提出</w:t>
                            </w:r>
                          </w:p>
                        </w:txbxContent>
                      </wps:txbx>
                      <wps:bodyPr upright="1"/>
                    </wps:wsp>
                  </a:graphicData>
                </a:graphic>
              </wp:anchor>
            </w:drawing>
          </mc:Choice>
          <mc:Fallback>
            <w:pict>
              <v:shape id="_x0000_s1026" o:spid="_x0000_s1026" o:spt="202" type="#_x0000_t202" style="position:absolute;left:0pt;margin-left:0pt;margin-top:15.2pt;height:23.4pt;width:90pt;z-index:251659264;mso-width-relative:page;mso-height-relative:page;" fillcolor="#FFFFFF" filled="t" stroked="t" coordsize="21600,21600" o:gfxdata="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7c94tYAAAAGAQAADwAAAAAAAAABACAAAAAi&#10;AAAAZHJzL2Rvd25yZXYueG1sUEsBAhQAFAAAAAgAh07iQBp23m8MAgAANgQAAA4AAAAAAAAAAQAg&#10;AAAAJQEAAGRycy9lMm9Eb2MueG1sUEsFBgAAAAAGAAYAWQEAAKMFAAAAAA==&#10;">
                <v:fill on="t" focussize="0,0"/>
                <v:stroke color="#000000" joinstyle="miter"/>
                <v:imagedata o:title=""/>
                <o:lock v:ext="edit" aspectratio="f"/>
                <v:textbox>
                  <w:txbxContent>
                    <w:p>
                      <w:pPr>
                        <w:jc w:val="center"/>
                      </w:pPr>
                      <w:r>
                        <w:rPr>
                          <w:rFonts w:hint="eastAsia"/>
                        </w:rPr>
                        <w:t>申诉/投诉提出</w:t>
                      </w:r>
                    </w:p>
                  </w:txbxContent>
                </v:textbox>
              </v:shape>
            </w:pict>
          </mc:Fallback>
        </mc:AlternateContent>
      </w:r>
    </w:p>
    <w:p>
      <w:pPr>
        <w:spacing w:line="380" w:lineRule="exact"/>
        <w:rPr>
          <w:sz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4114800</wp:posOffset>
                </wp:positionH>
                <wp:positionV relativeFrom="paragraph">
                  <wp:posOffset>50800</wp:posOffset>
                </wp:positionV>
                <wp:extent cx="342900" cy="0"/>
                <wp:effectExtent l="0" t="38100" r="7620" b="38100"/>
                <wp:wrapNone/>
                <wp:docPr id="31" name="直接连接符 31"/>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4pt;margin-top:4pt;height:0pt;width:27pt;z-index:251665408;mso-width-relative:page;mso-height-relative:page;" filled="f" stroked="t" coordsize="21600,21600" o:gfxdata="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lyE7dYAAAAHAQAADwAAAAAAAAABACAAAAAiAAAAZHJzL2Rvd25yZXYueG1sUEsBAhQA&#10;FAAAAAgAh07iQDFGcET0AQAA3QMAAA4AAAAAAAAAAQAgAAAAJQEAAGRycy9lMm9Eb2MueG1sUEsF&#10;BgAAAAAGAAYAWQEAAIs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2628900</wp:posOffset>
                </wp:positionH>
                <wp:positionV relativeFrom="paragraph">
                  <wp:posOffset>50800</wp:posOffset>
                </wp:positionV>
                <wp:extent cx="342900" cy="0"/>
                <wp:effectExtent l="0" t="38100" r="7620" b="38100"/>
                <wp:wrapNone/>
                <wp:docPr id="32" name="直接连接符 32"/>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7pt;margin-top:4pt;height:0pt;width:27pt;z-index:251664384;mso-width-relative:page;mso-height-relative:page;" filled="f" stroked="t" coordsize="21600,21600" o:gfxdata="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TZN3tYAAAAHAQAADwAAAAAAAAABACAAAAAiAAAAZHJzL2Rvd25yZXYueG1sUEsBAhQA&#10;FAAAAAgAh07iQLGG8AT0AQAA3QMAAA4AAAAAAAAAAQAgAAAAJQEAAGRycy9lMm9Eb2MueG1sUEsF&#10;BgAAAAAGAAYAWQEAAIs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1143000</wp:posOffset>
                </wp:positionH>
                <wp:positionV relativeFrom="paragraph">
                  <wp:posOffset>50800</wp:posOffset>
                </wp:positionV>
                <wp:extent cx="342900" cy="0"/>
                <wp:effectExtent l="0" t="38100" r="7620" b="38100"/>
                <wp:wrapNone/>
                <wp:docPr id="33" name="直接连接符 3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0pt;margin-top:4pt;height:0pt;width:27pt;z-index:251663360;mso-width-relative:page;mso-height-relative:page;" filled="f" stroked="t" coordsize="21600,21600" o:gfxdata="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H2zNYAAAAHAQAADwAAAAAAAAABACAAAAAiAAAAZHJzL2Rvd25yZXYueG1sUEsBAhQA&#10;FAAAAAgAh07iQA47oI30AQAA3QMAAA4AAAAAAAAAAQAgAAAAJQEAAGRycy9lMm9Eb2MueG1sUEsF&#10;BgAAAAAGAAYAWQEAAIsFAAAAAA==&#10;">
                <v:fill on="f" focussize="0,0"/>
                <v:stroke color="#000000" joinstyle="round" endarrow="block"/>
                <v:imagedata o:title=""/>
                <o:lock v:ext="edit" aspectratio="f"/>
              </v:line>
            </w:pict>
          </mc:Fallback>
        </mc:AlternateContent>
      </w:r>
    </w:p>
    <w:p>
      <w:pPr>
        <w:spacing w:line="380" w:lineRule="exact"/>
        <w:rPr>
          <w:b/>
          <w:sz w:val="24"/>
        </w:rPr>
      </w:pPr>
    </w:p>
    <w:p>
      <w:pPr>
        <w:spacing w:line="380" w:lineRule="exact"/>
        <w:rPr>
          <w:b/>
          <w:sz w:val="24"/>
        </w:rPr>
      </w:pPr>
      <w:r>
        <w:rPr>
          <w:b/>
          <w:sz w:val="24"/>
        </w:rPr>
        <w:t>12.3.申诉</w:t>
      </w:r>
    </w:p>
    <w:p>
      <w:pPr>
        <w:spacing w:line="380" w:lineRule="exact"/>
        <w:rPr>
          <w:sz w:val="24"/>
        </w:rPr>
      </w:pPr>
      <w:r>
        <w:rPr>
          <w:sz w:val="24"/>
        </w:rPr>
        <w:t>12.3.1申诉的提出</w:t>
      </w:r>
    </w:p>
    <w:p>
      <w:pPr>
        <w:spacing w:line="380" w:lineRule="exact"/>
        <w:ind w:firstLine="720" w:firstLineChars="300"/>
        <w:rPr>
          <w:sz w:val="24"/>
        </w:rPr>
      </w:pPr>
      <w:r>
        <w:rPr>
          <w:sz w:val="24"/>
        </w:rPr>
        <w:t>申诉人应向中盛运营部提出申诉。有效的申诉应同时符合以下条件：</w:t>
      </w:r>
    </w:p>
    <w:p>
      <w:pPr>
        <w:spacing w:line="380" w:lineRule="exact"/>
        <w:ind w:firstLine="768" w:firstLineChars="320"/>
        <w:rPr>
          <w:sz w:val="24"/>
        </w:rPr>
      </w:pPr>
      <w:r>
        <w:rPr>
          <w:sz w:val="24"/>
        </w:rPr>
        <w:t>a）申诉应以书面形式提出；</w:t>
      </w:r>
    </w:p>
    <w:p>
      <w:pPr>
        <w:spacing w:line="380" w:lineRule="exact"/>
        <w:ind w:firstLine="768" w:firstLineChars="320"/>
        <w:rPr>
          <w:sz w:val="24"/>
        </w:rPr>
      </w:pPr>
      <w:r>
        <w:rPr>
          <w:sz w:val="24"/>
        </w:rPr>
        <w:t>b）申诉人应签字和盖章；</w:t>
      </w:r>
    </w:p>
    <w:p>
      <w:pPr>
        <w:spacing w:line="380" w:lineRule="exact"/>
        <w:ind w:firstLine="768" w:firstLineChars="320"/>
        <w:rPr>
          <w:sz w:val="24"/>
        </w:rPr>
      </w:pPr>
      <w:r>
        <w:rPr>
          <w:sz w:val="24"/>
        </w:rPr>
        <w:t>c）申诉人应是申诉事项的直接相关方；</w:t>
      </w:r>
    </w:p>
    <w:p>
      <w:pPr>
        <w:spacing w:line="380" w:lineRule="exact"/>
        <w:ind w:firstLine="768" w:firstLineChars="320"/>
        <w:rPr>
          <w:sz w:val="24"/>
        </w:rPr>
      </w:pPr>
      <w:r>
        <w:rPr>
          <w:sz w:val="24"/>
        </w:rPr>
        <w:t>d）申诉应在收到中盛的相关决定或处理措施后的10个工作日内提出。</w:t>
      </w:r>
    </w:p>
    <w:p>
      <w:pPr>
        <w:spacing w:line="380" w:lineRule="exact"/>
        <w:rPr>
          <w:sz w:val="24"/>
        </w:rPr>
      </w:pPr>
      <w:r>
        <w:rPr>
          <w:sz w:val="24"/>
        </w:rPr>
        <w:t>12.3.2申诉的受理</w:t>
      </w:r>
    </w:p>
    <w:p>
      <w:pPr>
        <w:spacing w:line="380" w:lineRule="exact"/>
        <w:ind w:left="708" w:leftChars="337"/>
        <w:rPr>
          <w:sz w:val="24"/>
        </w:rPr>
      </w:pPr>
      <w:r>
        <w:rPr>
          <w:sz w:val="24"/>
        </w:rPr>
        <w:t>中盛接到申诉材料后对申诉材料进行初步审查，有效的申诉，按要求组成申诉处理工作组。无效的申诉，说明不予受理的理由，连同相应申诉材料退回申诉人。</w:t>
      </w:r>
    </w:p>
    <w:p>
      <w:pPr>
        <w:spacing w:line="380" w:lineRule="exact"/>
        <w:rPr>
          <w:sz w:val="24"/>
        </w:rPr>
      </w:pPr>
      <w:r>
        <w:rPr>
          <w:sz w:val="24"/>
        </w:rPr>
        <w:t>12.3.3 申诉的处理</w:t>
      </w:r>
    </w:p>
    <w:p>
      <w:pPr>
        <w:spacing w:line="380" w:lineRule="exact"/>
        <w:ind w:left="840" w:hanging="840" w:hangingChars="350"/>
        <w:rPr>
          <w:sz w:val="24"/>
        </w:rPr>
      </w:pPr>
      <w:r>
        <w:rPr>
          <w:sz w:val="24"/>
        </w:rPr>
        <w:t>12.3.3.1申诉处理工作组根据申诉内容实施调查，有权采用召集会议、听取双方陈述、听取有关人员的证词、现场调查、调取书面证据和向专家咨询等措施取证，并保存有关证据。调查完成后，申诉处理工作组客观公正地形成书面报告，并参考以前类似申诉处理的处理结果提出处理建议(需要时包括补救或纠正措施建议），报送总经理裁定。</w:t>
      </w:r>
    </w:p>
    <w:p>
      <w:pPr>
        <w:spacing w:line="380" w:lineRule="exact"/>
        <w:ind w:left="840" w:hanging="840" w:hangingChars="350"/>
        <w:rPr>
          <w:sz w:val="24"/>
        </w:rPr>
      </w:pPr>
      <w:r>
        <w:rPr>
          <w:sz w:val="24"/>
        </w:rPr>
        <w:t>12.3.3.2相关部门按《</w:t>
      </w:r>
      <w:bookmarkStart w:id="28" w:name="_GoBack"/>
      <w:bookmarkEnd w:id="28"/>
      <w:r>
        <w:rPr>
          <w:rFonts w:hint="eastAsia"/>
          <w:sz w:val="24"/>
          <w:lang w:eastAsia="zh-CN"/>
        </w:rPr>
        <w:t>不合格纠正措施管理程序</w:t>
      </w:r>
      <w:r>
        <w:rPr>
          <w:sz w:val="24"/>
        </w:rPr>
        <w:t>》规定实施经总经理审定的补救或纠正措施，并提供相应证据。</w:t>
      </w:r>
    </w:p>
    <w:p>
      <w:pPr>
        <w:spacing w:line="380" w:lineRule="exact"/>
        <w:ind w:left="840" w:hanging="840" w:hangingChars="350"/>
        <w:rPr>
          <w:sz w:val="24"/>
        </w:rPr>
      </w:pPr>
      <w:r>
        <w:rPr>
          <w:sz w:val="24"/>
        </w:rPr>
        <w:t>12.3.3.3申诉处理工作组汇总申诉处理证据，提出正式处理意见，填写《投诉、申诉调查、处理记录表》报总经理批准。</w:t>
      </w:r>
    </w:p>
    <w:p>
      <w:pPr>
        <w:spacing w:line="380" w:lineRule="exact"/>
        <w:rPr>
          <w:sz w:val="24"/>
        </w:rPr>
      </w:pPr>
      <w:r>
        <w:rPr>
          <w:sz w:val="24"/>
        </w:rPr>
        <w:t>12.3.4 申诉裁定的执行</w:t>
      </w:r>
    </w:p>
    <w:p>
      <w:pPr>
        <w:spacing w:line="380" w:lineRule="exact"/>
        <w:rPr>
          <w:sz w:val="24"/>
        </w:rPr>
      </w:pPr>
      <w:r>
        <w:rPr>
          <w:sz w:val="24"/>
        </w:rPr>
        <w:t>12.3.4.1申诉的提出、调查和决定不应造成针对申诉人的任何歧视行为。</w:t>
      </w:r>
    </w:p>
    <w:p>
      <w:pPr>
        <w:spacing w:line="380" w:lineRule="exact"/>
        <w:rPr>
          <w:sz w:val="24"/>
        </w:rPr>
      </w:pPr>
      <w:r>
        <w:rPr>
          <w:sz w:val="24"/>
        </w:rPr>
        <w:t>12.3.4.2中盛以书面形式将裁定结论通知申诉人。</w:t>
      </w:r>
    </w:p>
    <w:p>
      <w:pPr>
        <w:spacing w:line="380" w:lineRule="exact"/>
        <w:ind w:left="840" w:hanging="840" w:hangingChars="350"/>
        <w:rPr>
          <w:sz w:val="24"/>
        </w:rPr>
      </w:pPr>
      <w:r>
        <w:rPr>
          <w:sz w:val="24"/>
        </w:rPr>
        <w:t>12.3.4.3申诉人如对裁定结果不满意，应在接到申诉处理结果后的10个工作日内向中盛再次提出申诉。</w:t>
      </w:r>
    </w:p>
    <w:p>
      <w:pPr>
        <w:spacing w:line="380" w:lineRule="exact"/>
        <w:rPr>
          <w:sz w:val="24"/>
        </w:rPr>
      </w:pPr>
      <w:r>
        <w:rPr>
          <w:sz w:val="24"/>
        </w:rPr>
        <w:t>12.3.5申诉费用</w:t>
      </w:r>
    </w:p>
    <w:p>
      <w:pPr>
        <w:spacing w:line="380" w:lineRule="exact"/>
        <w:ind w:firstLine="657" w:firstLineChars="274"/>
        <w:rPr>
          <w:sz w:val="24"/>
        </w:rPr>
      </w:pPr>
      <w:r>
        <w:rPr>
          <w:sz w:val="24"/>
        </w:rPr>
        <w:t>申诉处理的合理支出费用由双方按照在申诉事项中应承担的责任分担。</w:t>
      </w:r>
    </w:p>
    <w:p>
      <w:pPr>
        <w:spacing w:line="380" w:lineRule="exact"/>
        <w:ind w:firstLine="480" w:firstLineChars="200"/>
        <w:rPr>
          <w:sz w:val="24"/>
        </w:rPr>
      </w:pPr>
    </w:p>
    <w:p>
      <w:pPr>
        <w:spacing w:line="380" w:lineRule="exact"/>
        <w:rPr>
          <w:b/>
          <w:sz w:val="24"/>
        </w:rPr>
      </w:pPr>
      <w:r>
        <w:rPr>
          <w:b/>
          <w:sz w:val="24"/>
        </w:rPr>
        <w:t>12.4 投诉</w:t>
      </w:r>
    </w:p>
    <w:p>
      <w:pPr>
        <w:spacing w:line="380" w:lineRule="exact"/>
        <w:rPr>
          <w:sz w:val="24"/>
        </w:rPr>
      </w:pPr>
      <w:r>
        <w:rPr>
          <w:sz w:val="24"/>
        </w:rPr>
        <w:t>12.4.1 投诉的提出</w:t>
      </w:r>
    </w:p>
    <w:p>
      <w:pPr>
        <w:spacing w:line="380" w:lineRule="exact"/>
        <w:ind w:firstLine="480" w:firstLineChars="200"/>
        <w:rPr>
          <w:sz w:val="24"/>
        </w:rPr>
      </w:pPr>
      <w:r>
        <w:rPr>
          <w:sz w:val="24"/>
        </w:rPr>
        <w:t>投诉人应以书面或口头/电话形式就投诉所涉及事项向中盛正式提出。中盛不受理匿名投诉。</w:t>
      </w:r>
    </w:p>
    <w:p>
      <w:pPr>
        <w:spacing w:line="380" w:lineRule="exact"/>
        <w:rPr>
          <w:sz w:val="24"/>
        </w:rPr>
      </w:pPr>
      <w:r>
        <w:rPr>
          <w:sz w:val="24"/>
        </w:rPr>
        <w:t>12.4.2 投诉的受理</w:t>
      </w:r>
    </w:p>
    <w:p>
      <w:pPr>
        <w:spacing w:line="380" w:lineRule="exact"/>
        <w:ind w:left="840" w:hanging="840" w:hangingChars="350"/>
        <w:rPr>
          <w:sz w:val="24"/>
        </w:rPr>
      </w:pPr>
      <w:r>
        <w:rPr>
          <w:sz w:val="24"/>
        </w:rPr>
        <w:t>12.4.2.1中盛接到投诉书面材料后分析投诉内容，确认是否与公司认证活动有关，对于与公司认证活动有关的投诉，通知投诉人，并按规定组成投诉处理工作组。对与公司认证活动无关的投诉，签发《投诉、申诉调查、处理记录表》，说明不予受理的理由，通知投诉人。</w:t>
      </w:r>
    </w:p>
    <w:p>
      <w:pPr>
        <w:spacing w:line="380" w:lineRule="exact"/>
        <w:rPr>
          <w:sz w:val="24"/>
        </w:rPr>
      </w:pPr>
      <w:r>
        <w:rPr>
          <w:sz w:val="24"/>
        </w:rPr>
        <w:t>12.4.3 投诉的处理</w:t>
      </w:r>
    </w:p>
    <w:p>
      <w:pPr>
        <w:spacing w:line="380" w:lineRule="exact"/>
        <w:ind w:left="840" w:hanging="840" w:hangingChars="350"/>
        <w:rPr>
          <w:sz w:val="24"/>
        </w:rPr>
      </w:pPr>
      <w:r>
        <w:rPr>
          <w:sz w:val="24"/>
        </w:rPr>
        <w:t>12.4.3.1针对中盛的投诉，投诉处理工作组对投诉情况进行调查核实，充分收集和核对投诉确认所需的信息，必要时进行现场调查取证。调查核实完成后，投诉处理工作组客观公正地形成书面报告并提出处理建议（含适当的纠正和纠正措施）。</w:t>
      </w:r>
    </w:p>
    <w:p>
      <w:pPr>
        <w:spacing w:line="380" w:lineRule="exact"/>
        <w:rPr>
          <w:sz w:val="24"/>
        </w:rPr>
      </w:pPr>
      <w:r>
        <w:rPr>
          <w:sz w:val="24"/>
        </w:rPr>
        <w:t>12.4.3.2 针对申请组织或获证客户的投诉</w:t>
      </w:r>
    </w:p>
    <w:p>
      <w:pPr>
        <w:spacing w:line="380" w:lineRule="exact"/>
        <w:ind w:left="1283" w:leftChars="472" w:hanging="292" w:hangingChars="122"/>
        <w:rPr>
          <w:sz w:val="24"/>
        </w:rPr>
      </w:pPr>
      <w:r>
        <w:rPr>
          <w:sz w:val="24"/>
        </w:rPr>
        <w:t>a）投诉处理工作组根据投诉的内容和性质，通知相关申请组织或获证客户做出说明或处理，并向中盛提交书面报告和相关证据。必要时，进行现场调查或验证。</w:t>
      </w:r>
    </w:p>
    <w:p>
      <w:pPr>
        <w:spacing w:line="380" w:lineRule="exact"/>
        <w:ind w:left="1283" w:leftChars="472" w:hanging="292" w:hangingChars="122"/>
        <w:rPr>
          <w:sz w:val="24"/>
        </w:rPr>
      </w:pPr>
      <w:r>
        <w:rPr>
          <w:sz w:val="24"/>
        </w:rPr>
        <w:t>b）投诉事项涉及到申请组织或获证客户的认证资格时，技术部调阅投诉材料、调查结果、相关组织材料及其采取措施证据，按《管理体系认证初次审核实施与控制程序》或《保持认证管理程序》，考虑获证客户管理体系的有效性，做出与相应的认证决定。</w:t>
      </w:r>
    </w:p>
    <w:p>
      <w:pPr>
        <w:spacing w:line="380" w:lineRule="exact"/>
        <w:ind w:left="840" w:hanging="840" w:hangingChars="350"/>
        <w:rPr>
          <w:sz w:val="24"/>
        </w:rPr>
      </w:pPr>
      <w:r>
        <w:rPr>
          <w:sz w:val="24"/>
        </w:rPr>
        <w:t>12.4.3.3涉及采取纠正或纠正措施时，相关部门按《不合格纠正措施管理程序》执行投诉处理工作组验证其有效性。</w:t>
      </w:r>
    </w:p>
    <w:p>
      <w:pPr>
        <w:spacing w:line="380" w:lineRule="exact"/>
        <w:ind w:left="840" w:hanging="840" w:hangingChars="350"/>
        <w:rPr>
          <w:sz w:val="24"/>
        </w:rPr>
      </w:pPr>
      <w:r>
        <w:rPr>
          <w:sz w:val="24"/>
        </w:rPr>
        <w:t>12.4.3.4投诉处理工作组根据投诉的调查结果提出处理决定建议，报公司总经理审查批准。</w:t>
      </w:r>
    </w:p>
    <w:p>
      <w:pPr>
        <w:spacing w:line="380" w:lineRule="exact"/>
        <w:rPr>
          <w:sz w:val="24"/>
        </w:rPr>
      </w:pPr>
      <w:r>
        <w:rPr>
          <w:sz w:val="24"/>
        </w:rPr>
        <w:t>12.4.4 投诉处理决定的反馈</w:t>
      </w:r>
    </w:p>
    <w:p>
      <w:pPr>
        <w:spacing w:line="380" w:lineRule="exact"/>
        <w:ind w:left="840" w:hanging="840" w:hangingChars="350"/>
        <w:rPr>
          <w:sz w:val="24"/>
        </w:rPr>
      </w:pPr>
      <w:r>
        <w:rPr>
          <w:sz w:val="24"/>
        </w:rPr>
        <w:t>12.4.4.1中盛以书面形式通知投诉人及相关方，投诉事项是否公开，中盛与相关客户及投诉人共同决定，在决定公开时，共同确定公开的内容和程度，并形成文件经各方签署确认。</w:t>
      </w:r>
    </w:p>
    <w:p>
      <w:pPr>
        <w:spacing w:line="380" w:lineRule="exact"/>
        <w:ind w:left="840" w:hanging="840" w:hangingChars="350"/>
        <w:rPr>
          <w:sz w:val="24"/>
        </w:rPr>
      </w:pPr>
      <w:r>
        <w:rPr>
          <w:sz w:val="24"/>
        </w:rPr>
        <w:t>12.4.4.2投诉人或投诉事项的相关方对投诉处理决定不服时，可在接到投诉处理决定后的10个工作日内提出申诉。</w:t>
      </w:r>
    </w:p>
    <w:p>
      <w:pPr>
        <w:spacing w:line="380" w:lineRule="exact"/>
        <w:ind w:left="840" w:hanging="840" w:hangingChars="350"/>
        <w:rPr>
          <w:sz w:val="24"/>
        </w:rPr>
      </w:pPr>
      <w:r>
        <w:rPr>
          <w:sz w:val="24"/>
        </w:rPr>
        <w:t>12.4.4.3投诉的提交、调查和决定不应造成针对投诉人的任何歧视行为。</w:t>
      </w:r>
    </w:p>
    <w:p>
      <w:pPr>
        <w:spacing w:line="380" w:lineRule="exact"/>
        <w:ind w:firstLine="960" w:firstLineChars="400"/>
        <w:rPr>
          <w:b/>
          <w:sz w:val="24"/>
        </w:rPr>
      </w:pPr>
      <w:r>
        <w:rPr>
          <w:sz w:val="24"/>
        </w:rPr>
        <w:t>注：本文件可在</w:t>
      </w:r>
      <w:r>
        <w:fldChar w:fldCharType="begin"/>
      </w:r>
      <w:r>
        <w:instrText xml:space="preserve"> HYPERLINK "http://www.lajcc.cn" </w:instrText>
      </w:r>
      <w:r>
        <w:fldChar w:fldCharType="separate"/>
      </w:r>
      <w:r>
        <w:rPr>
          <w:rStyle w:val="38"/>
          <w:color w:val="auto"/>
          <w:sz w:val="24"/>
          <w:lang w:eastAsia="ja-JP"/>
        </w:rPr>
        <w:t>www.zs-cert.com</w:t>
      </w:r>
      <w:r>
        <w:rPr>
          <w:rStyle w:val="38"/>
          <w:color w:val="auto"/>
          <w:sz w:val="24"/>
          <w:lang w:eastAsia="ja-JP"/>
        </w:rPr>
        <w:fldChar w:fldCharType="end"/>
      </w:r>
      <w:r>
        <w:rPr>
          <w:sz w:val="24"/>
        </w:rPr>
        <w:t>网站“认证服务”栏查询获取</w:t>
      </w:r>
    </w:p>
    <w:sectPr>
      <w:headerReference r:id="rId3" w:type="default"/>
      <w:footerReference r:id="rId4" w:type="default"/>
      <w:pgSz w:w="11906" w:h="16838"/>
      <w:pgMar w:top="1985" w:right="1134" w:bottom="1134" w:left="1134" w:header="454" w:footer="397"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MS Mincho">
    <w:altName w:val="Yu Gothic"/>
    <w:panose1 w:val="02020609040205080304"/>
    <w:charset w:val="80"/>
    <w:family w:val="roman"/>
    <w:pitch w:val="default"/>
    <w:sig w:usb0="00000000" w:usb1="00000000" w:usb2="00000010" w:usb3="00000000" w:csb0="00020000" w:csb1="00000000"/>
  </w:font>
  <w:font w:name="楷体">
    <w:panose1 w:val="02010609060101010101"/>
    <w:charset w:val="86"/>
    <w:family w:val="modern"/>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20"/>
        <w:szCs w:val="21"/>
      </w:rPr>
    </w:pPr>
    <w:r>
      <w:rPr>
        <w:bCs/>
        <w:kern w:val="0"/>
        <w:sz w:val="20"/>
        <w:szCs w:val="21"/>
      </w:rPr>
      <w:t xml:space="preserve">第 </w:t>
    </w:r>
    <w:r>
      <w:rPr>
        <w:bCs/>
        <w:kern w:val="0"/>
        <w:sz w:val="20"/>
        <w:szCs w:val="21"/>
      </w:rPr>
      <w:fldChar w:fldCharType="begin"/>
    </w:r>
    <w:r>
      <w:rPr>
        <w:bCs/>
        <w:kern w:val="0"/>
        <w:sz w:val="20"/>
        <w:szCs w:val="21"/>
      </w:rPr>
      <w:instrText xml:space="preserve"> PAGE </w:instrText>
    </w:r>
    <w:r>
      <w:rPr>
        <w:bCs/>
        <w:kern w:val="0"/>
        <w:sz w:val="20"/>
        <w:szCs w:val="21"/>
      </w:rPr>
      <w:fldChar w:fldCharType="separate"/>
    </w:r>
    <w:r>
      <w:rPr>
        <w:bCs/>
        <w:kern w:val="0"/>
        <w:sz w:val="20"/>
        <w:szCs w:val="21"/>
      </w:rPr>
      <w:t>20</w:t>
    </w:r>
    <w:r>
      <w:rPr>
        <w:bCs/>
        <w:kern w:val="0"/>
        <w:sz w:val="20"/>
        <w:szCs w:val="21"/>
      </w:rPr>
      <w:fldChar w:fldCharType="end"/>
    </w:r>
    <w:r>
      <w:rPr>
        <w:bCs/>
        <w:kern w:val="0"/>
        <w:sz w:val="2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3"/>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6"/>
      <w:gridCol w:w="1475"/>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396" w:type="dxa"/>
          <w:vMerge w:val="restart"/>
          <w:vAlign w:val="center"/>
        </w:tcPr>
        <w:p>
          <w:pPr>
            <w:spacing w:line="360" w:lineRule="exact"/>
            <w:jc w:val="center"/>
            <w:rPr>
              <w:rFonts w:ascii="宋体" w:hAnsi="宋体"/>
              <w:b/>
              <w:bCs/>
              <w:sz w:val="28"/>
              <w:szCs w:val="28"/>
            </w:rPr>
          </w:pPr>
          <w:r>
            <w:rPr>
              <w:rFonts w:eastAsia="楷体_GB2312"/>
              <w:b/>
              <w:sz w:val="30"/>
              <w:szCs w:val="30"/>
            </w:rPr>
            <w:drawing>
              <wp:anchor distT="0" distB="0" distL="114300" distR="114300" simplePos="0" relativeHeight="251666432" behindDoc="0" locked="0" layoutInCell="1" allowOverlap="1">
                <wp:simplePos x="0" y="0"/>
                <wp:positionH relativeFrom="column">
                  <wp:posOffset>-4445</wp:posOffset>
                </wp:positionH>
                <wp:positionV relativeFrom="paragraph">
                  <wp:posOffset>29845</wp:posOffset>
                </wp:positionV>
                <wp:extent cx="898525" cy="381000"/>
                <wp:effectExtent l="0" t="0" r="0" b="0"/>
                <wp:wrapNone/>
                <wp:docPr id="15" name="图片 15" descr="C-SUN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SUN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98525" cy="381000"/>
                        </a:xfrm>
                        <a:prstGeom prst="rect">
                          <a:avLst/>
                        </a:prstGeom>
                        <a:noFill/>
                        <a:ln>
                          <a:noFill/>
                        </a:ln>
                      </pic:spPr>
                    </pic:pic>
                  </a:graphicData>
                </a:graphic>
              </wp:anchor>
            </w:drawing>
          </w:r>
          <w:r>
            <w:rPr>
              <w:rFonts w:hint="eastAsia"/>
            </w:rPr>
            <w:t xml:space="preserve"> </w:t>
          </w:r>
          <w:r>
            <w:rPr>
              <w:rFonts w:hint="eastAsia" w:ascii="宋体" w:hAnsi="宋体"/>
              <w:b/>
              <w:bCs/>
              <w:sz w:val="32"/>
              <w:szCs w:val="32"/>
            </w:rPr>
            <w:t xml:space="preserve"> </w:t>
          </w:r>
          <w:r>
            <w:rPr>
              <w:rFonts w:ascii="宋体" w:hAnsi="宋体"/>
              <w:b/>
              <w:bCs/>
              <w:sz w:val="32"/>
              <w:szCs w:val="32"/>
            </w:rPr>
            <w:t xml:space="preserve">     </w:t>
          </w:r>
          <w:r>
            <w:rPr>
              <w:rFonts w:hint="eastAsia" w:ascii="宋体" w:hAnsi="宋体"/>
              <w:b/>
              <w:bCs/>
              <w:sz w:val="32"/>
              <w:szCs w:val="32"/>
            </w:rPr>
            <w:t>深圳市中盛认证有限公司</w:t>
          </w:r>
        </w:p>
        <w:p>
          <w:pPr>
            <w:ind w:firstLine="1717" w:firstLineChars="950"/>
            <w:rPr>
              <w:b/>
              <w:bCs/>
              <w:sz w:val="18"/>
              <w:szCs w:val="18"/>
            </w:rPr>
          </w:pPr>
          <w:r>
            <w:rPr>
              <w:b/>
              <w:bCs/>
              <w:sz w:val="18"/>
              <w:szCs w:val="18"/>
            </w:rPr>
            <w:t>Shenzhen City ZhongSheng Certification Co.,Ltd</w:t>
          </w:r>
        </w:p>
        <w:p>
          <w:pPr>
            <w:spacing w:line="660" w:lineRule="exact"/>
            <w:jc w:val="center"/>
            <w:rPr>
              <w:rFonts w:eastAsia="楷体_GB2312"/>
              <w:b/>
              <w:sz w:val="36"/>
              <w:szCs w:val="36"/>
            </w:rPr>
          </w:pPr>
          <w:r>
            <w:rPr>
              <w:rFonts w:hint="eastAsia" w:asciiTheme="majorEastAsia" w:hAnsiTheme="majorEastAsia" w:eastAsiaTheme="majorEastAsia" w:cstheme="majorEastAsia"/>
              <w:b/>
              <w:sz w:val="32"/>
              <w:szCs w:val="28"/>
            </w:rPr>
            <w:t xml:space="preserve"> </w:t>
          </w:r>
          <w:r>
            <w:rPr>
              <w:rFonts w:asciiTheme="majorEastAsia" w:hAnsiTheme="majorEastAsia" w:eastAsiaTheme="majorEastAsia" w:cstheme="majorEastAsia"/>
              <w:b/>
              <w:sz w:val="32"/>
              <w:szCs w:val="28"/>
            </w:rPr>
            <w:t xml:space="preserve">  </w:t>
          </w:r>
          <w:r>
            <w:rPr>
              <w:rFonts w:asciiTheme="majorEastAsia" w:hAnsiTheme="majorEastAsia" w:eastAsiaTheme="majorEastAsia" w:cstheme="majorEastAsia"/>
              <w:b/>
              <w:sz w:val="36"/>
              <w:szCs w:val="28"/>
            </w:rPr>
            <w:t xml:space="preserve"> </w:t>
          </w:r>
          <w:r>
            <w:rPr>
              <w:rFonts w:hint="eastAsia" w:asciiTheme="majorEastAsia" w:hAnsiTheme="majorEastAsia" w:eastAsiaTheme="majorEastAsia" w:cstheme="majorEastAsia"/>
              <w:b/>
              <w:sz w:val="40"/>
              <w:szCs w:val="28"/>
            </w:rPr>
            <w:t>管理体系认证公开文件</w:t>
          </w:r>
        </w:p>
      </w:tc>
      <w:tc>
        <w:tcPr>
          <w:tcW w:w="1475" w:type="dxa"/>
          <w:vAlign w:val="center"/>
        </w:tcPr>
        <w:p>
          <w:pPr>
            <w:tabs>
              <w:tab w:val="left" w:pos="332"/>
            </w:tabs>
            <w:spacing w:line="220" w:lineRule="exact"/>
            <w:ind w:right="103" w:rightChars="49"/>
            <w:jc w:val="right"/>
            <w:rPr>
              <w:rFonts w:ascii="宋体" w:hAnsi="宋体"/>
              <w:szCs w:val="21"/>
            </w:rPr>
          </w:pPr>
          <w:r>
            <w:rPr>
              <w:rFonts w:hint="eastAsia" w:ascii="宋体" w:hAnsi="宋体"/>
              <w:szCs w:val="21"/>
            </w:rPr>
            <w:t>文件编号</w:t>
          </w:r>
        </w:p>
      </w:tc>
      <w:tc>
        <w:tcPr>
          <w:tcW w:w="1650" w:type="dxa"/>
          <w:vAlign w:val="center"/>
        </w:tcPr>
        <w:p>
          <w:pPr>
            <w:tabs>
              <w:tab w:val="left" w:pos="332"/>
            </w:tabs>
            <w:spacing w:line="220" w:lineRule="exact"/>
            <w:jc w:val="center"/>
            <w:rPr>
              <w:rFonts w:hint="default" w:eastAsia="宋体"/>
              <w:szCs w:val="21"/>
              <w:lang w:val="en-US" w:eastAsia="zh-CN"/>
            </w:rPr>
          </w:pPr>
          <w:r>
            <w:rPr>
              <w:szCs w:val="21"/>
            </w:rPr>
            <w:t>ZS-GK-01</w:t>
          </w:r>
          <w:r>
            <w:rPr>
              <w:rFonts w:hint="eastAsia"/>
              <w:szCs w:val="21"/>
              <w:lang w:val="en-US" w:eastAsia="zh-CN"/>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396" w:type="dxa"/>
          <w:vMerge w:val="continue"/>
          <w:vAlign w:val="center"/>
        </w:tcPr>
        <w:p>
          <w:pPr>
            <w:jc w:val="center"/>
          </w:pPr>
        </w:p>
      </w:tc>
      <w:tc>
        <w:tcPr>
          <w:tcW w:w="1475" w:type="dxa"/>
          <w:vAlign w:val="center"/>
        </w:tcPr>
        <w:p>
          <w:pPr>
            <w:spacing w:line="220" w:lineRule="exact"/>
            <w:ind w:right="103" w:rightChars="49"/>
            <w:jc w:val="right"/>
            <w:rPr>
              <w:szCs w:val="21"/>
            </w:rPr>
          </w:pPr>
          <w:r>
            <w:rPr>
              <w:rFonts w:hint="eastAsia" w:ascii="宋体" w:hAnsi="宋体"/>
              <w:szCs w:val="21"/>
            </w:rPr>
            <w:t>版    次</w:t>
          </w:r>
        </w:p>
      </w:tc>
      <w:tc>
        <w:tcPr>
          <w:tcW w:w="1650" w:type="dxa"/>
          <w:vAlign w:val="center"/>
        </w:tcPr>
        <w:p>
          <w:pPr>
            <w:spacing w:line="220" w:lineRule="exact"/>
            <w:jc w:val="center"/>
            <w:rPr>
              <w:rFonts w:hint="eastAsia" w:eastAsia="宋体"/>
              <w:szCs w:val="21"/>
              <w:lang w:eastAsia="zh-CN"/>
            </w:rPr>
          </w:pPr>
          <w:r>
            <w:rPr>
              <w:rFonts w:hint="eastAsia"/>
              <w:szCs w:val="21"/>
              <w:lang w:val="en-US" w:eastAsia="zh-CN"/>
            </w:rPr>
            <w:t>C</w:t>
          </w:r>
          <w:r>
            <w:rPr>
              <w:szCs w:val="21"/>
            </w:rPr>
            <w:t>/</w:t>
          </w: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396" w:type="dxa"/>
          <w:vMerge w:val="continue"/>
          <w:vAlign w:val="center"/>
        </w:tcPr>
        <w:p>
          <w:pPr>
            <w:jc w:val="center"/>
            <w:rPr>
              <w:rFonts w:ascii="黑体" w:eastAsia="黑体"/>
              <w:bCs/>
              <w:sz w:val="32"/>
              <w:szCs w:val="32"/>
            </w:rPr>
          </w:pPr>
        </w:p>
      </w:tc>
      <w:tc>
        <w:tcPr>
          <w:tcW w:w="1475" w:type="dxa"/>
          <w:vAlign w:val="center"/>
        </w:tcPr>
        <w:p>
          <w:pPr>
            <w:spacing w:line="220" w:lineRule="exact"/>
            <w:ind w:right="103" w:rightChars="49"/>
            <w:jc w:val="right"/>
            <w:rPr>
              <w:rFonts w:ascii="宋体" w:hAnsi="宋体"/>
              <w:szCs w:val="21"/>
            </w:rPr>
          </w:pPr>
          <w:r>
            <w:rPr>
              <w:rFonts w:hint="eastAsia" w:ascii="宋体" w:hAnsi="宋体"/>
              <w:szCs w:val="21"/>
            </w:rPr>
            <w:t>页    次</w:t>
          </w:r>
        </w:p>
      </w:tc>
      <w:tc>
        <w:tcPr>
          <w:tcW w:w="1650" w:type="dxa"/>
          <w:vAlign w:val="center"/>
        </w:tcPr>
        <w:p>
          <w:pPr>
            <w:spacing w:line="220" w:lineRule="exact"/>
            <w:ind w:right="-128" w:rightChars="-61"/>
            <w:jc w:val="center"/>
            <w:rPr>
              <w:szCs w:val="21"/>
            </w:rPr>
          </w:pPr>
          <w:r>
            <w:rPr>
              <w:kern w:val="0"/>
              <w:szCs w:val="21"/>
            </w:rPr>
            <w:fldChar w:fldCharType="begin"/>
          </w:r>
          <w:r>
            <w:rPr>
              <w:kern w:val="0"/>
              <w:szCs w:val="21"/>
            </w:rPr>
            <w:instrText xml:space="preserve"> PAGE </w:instrText>
          </w:r>
          <w:r>
            <w:rPr>
              <w:kern w:val="0"/>
              <w:szCs w:val="21"/>
            </w:rPr>
            <w:fldChar w:fldCharType="separate"/>
          </w:r>
          <w:r>
            <w:rPr>
              <w:kern w:val="0"/>
              <w:szCs w:val="21"/>
            </w:rPr>
            <w:t>20</w:t>
          </w:r>
          <w:r>
            <w:rPr>
              <w:kern w:val="0"/>
              <w:szCs w:val="21"/>
            </w:rPr>
            <w:fldChar w:fldCharType="end"/>
          </w:r>
          <w:r>
            <w:rPr>
              <w:kern w:val="0"/>
              <w:szCs w:val="21"/>
            </w:rPr>
            <w:t>/</w:t>
          </w:r>
          <w:r>
            <w:rPr>
              <w:kern w:val="0"/>
              <w:szCs w:val="21"/>
            </w:rPr>
            <w:fldChar w:fldCharType="begin"/>
          </w:r>
          <w:r>
            <w:rPr>
              <w:kern w:val="0"/>
              <w:szCs w:val="21"/>
            </w:rPr>
            <w:instrText xml:space="preserve"> NUMPAGES </w:instrText>
          </w:r>
          <w:r>
            <w:rPr>
              <w:kern w:val="0"/>
              <w:szCs w:val="21"/>
            </w:rPr>
            <w:fldChar w:fldCharType="separate"/>
          </w:r>
          <w:r>
            <w:rPr>
              <w:kern w:val="0"/>
              <w:szCs w:val="21"/>
            </w:rPr>
            <w:t>21</w:t>
          </w:r>
          <w:r>
            <w:rPr>
              <w:kern w:val="0"/>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96" w:type="dxa"/>
          <w:vMerge w:val="continue"/>
          <w:vAlign w:val="center"/>
        </w:tcPr>
        <w:p/>
      </w:tc>
      <w:tc>
        <w:tcPr>
          <w:tcW w:w="1475" w:type="dxa"/>
          <w:vAlign w:val="center"/>
        </w:tcPr>
        <w:p>
          <w:pPr>
            <w:spacing w:line="220" w:lineRule="exact"/>
            <w:ind w:right="103" w:rightChars="49"/>
            <w:jc w:val="right"/>
            <w:rPr>
              <w:szCs w:val="21"/>
            </w:rPr>
          </w:pPr>
          <w:r>
            <w:rPr>
              <w:rFonts w:hint="eastAsia" w:ascii="宋体" w:hAnsi="宋体"/>
              <w:szCs w:val="21"/>
            </w:rPr>
            <w:t>生效日期</w:t>
          </w:r>
        </w:p>
      </w:tc>
      <w:tc>
        <w:tcPr>
          <w:tcW w:w="1650" w:type="dxa"/>
          <w:vAlign w:val="center"/>
        </w:tcPr>
        <w:p>
          <w:pPr>
            <w:spacing w:line="220" w:lineRule="exact"/>
            <w:jc w:val="center"/>
            <w:rPr>
              <w:rFonts w:hint="eastAsia" w:eastAsia="宋体"/>
              <w:szCs w:val="21"/>
              <w:lang w:val="en-US" w:eastAsia="zh-CN"/>
            </w:rPr>
          </w:pPr>
          <w:r>
            <w:rPr>
              <w:szCs w:val="21"/>
            </w:rPr>
            <w:t>202</w:t>
          </w:r>
          <w:r>
            <w:rPr>
              <w:rFonts w:hint="eastAsia"/>
              <w:szCs w:val="21"/>
              <w:lang w:val="en-US" w:eastAsia="zh-CN"/>
            </w:rPr>
            <w:t>4</w:t>
          </w:r>
          <w:r>
            <w:rPr>
              <w:szCs w:val="21"/>
            </w:rPr>
            <w:t>-</w:t>
          </w:r>
          <w:r>
            <w:rPr>
              <w:rFonts w:hint="eastAsia"/>
              <w:szCs w:val="21"/>
              <w:lang w:val="en-US" w:eastAsia="zh-CN"/>
            </w:rPr>
            <w:t>2</w:t>
          </w:r>
          <w:r>
            <w:rPr>
              <w:szCs w:val="21"/>
            </w:rPr>
            <w:t>-1</w:t>
          </w:r>
        </w:p>
      </w:tc>
    </w:tr>
  </w:tbl>
  <w:p>
    <w:pPr>
      <w:spacing w:line="360" w:lineRule="auto"/>
      <w:ind w:right="-588" w:rightChars="-280"/>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1B5CD2"/>
    <w:multiLevelType w:val="multilevel"/>
    <w:tmpl w:val="2F1B5CD2"/>
    <w:lvl w:ilvl="0" w:tentative="0">
      <w:start w:val="1"/>
      <w:numFmt w:val="lowerLetter"/>
      <w:lvlText w:val="%1)"/>
      <w:lvlJc w:val="left"/>
      <w:pPr>
        <w:tabs>
          <w:tab w:val="left" w:pos="0"/>
        </w:tabs>
        <w:ind w:left="0" w:firstLine="0"/>
      </w:pPr>
    </w:lvl>
    <w:lvl w:ilvl="1" w:tentative="0">
      <w:start w:val="1"/>
      <w:numFmt w:val="bullet"/>
      <w:lvlText w:val=""/>
      <w:lvlJc w:val="left"/>
      <w:pPr>
        <w:tabs>
          <w:tab w:val="left" w:pos="0"/>
        </w:tabs>
        <w:ind w:left="0" w:firstLine="0"/>
      </w:pPr>
    </w:lvl>
    <w:lvl w:ilvl="2" w:tentative="0">
      <w:start w:val="1"/>
      <w:numFmt w:val="bullet"/>
      <w:lvlText w:val=""/>
      <w:lvlJc w:val="left"/>
      <w:pPr>
        <w:tabs>
          <w:tab w:val="left" w:pos="0"/>
        </w:tabs>
        <w:ind w:left="0" w:firstLine="0"/>
      </w:pPr>
    </w:lvl>
    <w:lvl w:ilvl="3" w:tentative="0">
      <w:start w:val="1"/>
      <w:numFmt w:val="bullet"/>
      <w:lvlText w:val=""/>
      <w:lvlJc w:val="left"/>
      <w:pPr>
        <w:tabs>
          <w:tab w:val="left" w:pos="0"/>
        </w:tabs>
        <w:ind w:left="0" w:firstLine="0"/>
      </w:pPr>
    </w:lvl>
    <w:lvl w:ilvl="4" w:tentative="0">
      <w:start w:val="1"/>
      <w:numFmt w:val="bullet"/>
      <w:lvlText w:val=""/>
      <w:lvlJc w:val="left"/>
      <w:pPr>
        <w:tabs>
          <w:tab w:val="left" w:pos="0"/>
        </w:tabs>
        <w:ind w:left="0" w:firstLine="0"/>
      </w:pPr>
    </w:lvl>
    <w:lvl w:ilvl="5" w:tentative="0">
      <w:start w:val="1"/>
      <w:numFmt w:val="bullet"/>
      <w:lvlText w:val=""/>
      <w:lvlJc w:val="left"/>
      <w:pPr>
        <w:tabs>
          <w:tab w:val="left" w:pos="0"/>
        </w:tabs>
        <w:ind w:left="0" w:firstLine="0"/>
      </w:pPr>
    </w:lvl>
    <w:lvl w:ilvl="6" w:tentative="0">
      <w:start w:val="1"/>
      <w:numFmt w:val="bullet"/>
      <w:lvlText w:val=""/>
      <w:lvlJc w:val="left"/>
      <w:pPr>
        <w:tabs>
          <w:tab w:val="left" w:pos="0"/>
        </w:tabs>
        <w:ind w:left="0" w:firstLine="0"/>
      </w:pPr>
    </w:lvl>
    <w:lvl w:ilvl="7" w:tentative="0">
      <w:start w:val="1"/>
      <w:numFmt w:val="bullet"/>
      <w:lvlText w:val=""/>
      <w:lvlJc w:val="left"/>
      <w:pPr>
        <w:tabs>
          <w:tab w:val="left" w:pos="0"/>
        </w:tabs>
        <w:ind w:left="0" w:firstLine="0"/>
      </w:pPr>
    </w:lvl>
    <w:lvl w:ilvl="8" w:tentative="0">
      <w:start w:val="1"/>
      <w:numFmt w:val="bullet"/>
      <w:lvlText w:val=""/>
      <w:lvlJc w:val="left"/>
      <w:pPr>
        <w:tabs>
          <w:tab w:val="left" w:pos="0"/>
        </w:tabs>
        <w:ind w:left="0" w:firstLine="0"/>
      </w:pPr>
    </w:lvl>
  </w:abstractNum>
  <w:abstractNum w:abstractNumId="1">
    <w:nsid w:val="49CE39E8"/>
    <w:multiLevelType w:val="multilevel"/>
    <w:tmpl w:val="49CE39E8"/>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7C79700"/>
    <w:multiLevelType w:val="singleLevel"/>
    <w:tmpl w:val="57C79700"/>
    <w:lvl w:ilvl="0" w:tentative="0">
      <w:start w:val="1"/>
      <w:numFmt w:val="bullet"/>
      <w:lvlText w:val=""/>
      <w:lvlJc w:val="left"/>
      <w:pPr>
        <w:ind w:left="420" w:hanging="420"/>
      </w:pPr>
      <w:rPr>
        <w:rFonts w:hint="default" w:ascii="Wingdings" w:hAnsi="Wingdings"/>
      </w:rPr>
    </w:lvl>
  </w:abstractNum>
  <w:abstractNum w:abstractNumId="3">
    <w:nsid w:val="57C7993A"/>
    <w:multiLevelType w:val="singleLevel"/>
    <w:tmpl w:val="57C7993A"/>
    <w:lvl w:ilvl="0" w:tentative="0">
      <w:start w:val="1"/>
      <w:numFmt w:val="bullet"/>
      <w:lvlText w:val=""/>
      <w:lvlJc w:val="left"/>
      <w:pPr>
        <w:ind w:left="420" w:hanging="420"/>
      </w:pPr>
      <w:rPr>
        <w:rFonts w:hint="default" w:ascii="Wingdings" w:hAnsi="Wingdings"/>
      </w:rPr>
    </w:lvl>
  </w:abstractNum>
  <w:abstractNum w:abstractNumId="4">
    <w:nsid w:val="57C79FF7"/>
    <w:multiLevelType w:val="singleLevel"/>
    <w:tmpl w:val="57C79FF7"/>
    <w:lvl w:ilvl="0" w:tentative="0">
      <w:start w:val="1"/>
      <w:numFmt w:val="bullet"/>
      <w:lvlText w:val=""/>
      <w:lvlJc w:val="left"/>
      <w:pPr>
        <w:ind w:left="420" w:hanging="420"/>
      </w:pPr>
      <w:rPr>
        <w:rFonts w:hint="default" w:ascii="Wingdings" w:hAnsi="Wingdings"/>
      </w:rPr>
    </w:lvl>
  </w:abstractNum>
  <w:abstractNum w:abstractNumId="5">
    <w:nsid w:val="57C7A456"/>
    <w:multiLevelType w:val="singleLevel"/>
    <w:tmpl w:val="57C7A456"/>
    <w:lvl w:ilvl="0" w:tentative="0">
      <w:start w:val="1"/>
      <w:numFmt w:val="bullet"/>
      <w:lvlText w:val=""/>
      <w:lvlJc w:val="left"/>
      <w:pPr>
        <w:ind w:left="420" w:hanging="420"/>
      </w:pPr>
      <w:rPr>
        <w:rFonts w:hint="default" w:ascii="Wingdings" w:hAnsi="Wingdings"/>
      </w:rPr>
    </w:lvl>
  </w:abstractNum>
  <w:abstractNum w:abstractNumId="6">
    <w:nsid w:val="5BF75726"/>
    <w:multiLevelType w:val="multilevel"/>
    <w:tmpl w:val="5BF75726"/>
    <w:lvl w:ilvl="0" w:tentative="0">
      <w:start w:val="1"/>
      <w:numFmt w:val="lowerLetter"/>
      <w:lvlText w:val="%1)"/>
      <w:lvlJc w:val="left"/>
      <w:pPr>
        <w:ind w:left="909" w:hanging="420"/>
      </w:pPr>
      <w:rPr>
        <w:rFonts w:hint="eastAsia"/>
        <w:sz w:val="24"/>
      </w:rPr>
    </w:lvl>
    <w:lvl w:ilvl="1" w:tentative="0">
      <w:start w:val="1"/>
      <w:numFmt w:val="lowerLetter"/>
      <w:lvlText w:val="%2)"/>
      <w:lvlJc w:val="left"/>
      <w:pPr>
        <w:ind w:left="1329" w:hanging="420"/>
      </w:pPr>
    </w:lvl>
    <w:lvl w:ilvl="2" w:tentative="0">
      <w:start w:val="1"/>
      <w:numFmt w:val="lowerRoman"/>
      <w:lvlText w:val="%3."/>
      <w:lvlJc w:val="right"/>
      <w:pPr>
        <w:ind w:left="1749" w:hanging="420"/>
      </w:pPr>
    </w:lvl>
    <w:lvl w:ilvl="3" w:tentative="0">
      <w:start w:val="1"/>
      <w:numFmt w:val="decimal"/>
      <w:lvlText w:val="%4."/>
      <w:lvlJc w:val="left"/>
      <w:pPr>
        <w:ind w:left="2169" w:hanging="420"/>
      </w:pPr>
    </w:lvl>
    <w:lvl w:ilvl="4" w:tentative="0">
      <w:start w:val="1"/>
      <w:numFmt w:val="lowerLetter"/>
      <w:lvlText w:val="%5)"/>
      <w:lvlJc w:val="left"/>
      <w:pPr>
        <w:ind w:left="2589" w:hanging="420"/>
      </w:pPr>
    </w:lvl>
    <w:lvl w:ilvl="5" w:tentative="0">
      <w:start w:val="1"/>
      <w:numFmt w:val="lowerRoman"/>
      <w:lvlText w:val="%6."/>
      <w:lvlJc w:val="right"/>
      <w:pPr>
        <w:ind w:left="3009" w:hanging="420"/>
      </w:pPr>
    </w:lvl>
    <w:lvl w:ilvl="6" w:tentative="0">
      <w:start w:val="1"/>
      <w:numFmt w:val="decimal"/>
      <w:lvlText w:val="%7."/>
      <w:lvlJc w:val="left"/>
      <w:pPr>
        <w:ind w:left="3429" w:hanging="420"/>
      </w:pPr>
    </w:lvl>
    <w:lvl w:ilvl="7" w:tentative="0">
      <w:start w:val="1"/>
      <w:numFmt w:val="lowerLetter"/>
      <w:lvlText w:val="%8)"/>
      <w:lvlJc w:val="left"/>
      <w:pPr>
        <w:ind w:left="3849" w:hanging="420"/>
      </w:pPr>
    </w:lvl>
    <w:lvl w:ilvl="8" w:tentative="0">
      <w:start w:val="1"/>
      <w:numFmt w:val="lowerRoman"/>
      <w:lvlText w:val="%9."/>
      <w:lvlJc w:val="right"/>
      <w:pPr>
        <w:ind w:left="4269" w:hanging="420"/>
      </w:pPr>
    </w:lvl>
  </w:abstractNum>
  <w:abstractNum w:abstractNumId="7">
    <w:nsid w:val="75DD2C1C"/>
    <w:multiLevelType w:val="singleLevel"/>
    <w:tmpl w:val="75DD2C1C"/>
    <w:lvl w:ilvl="0" w:tentative="0">
      <w:start w:val="1"/>
      <w:numFmt w:val="decimal"/>
      <w:suff w:val="space"/>
      <w:lvlText w:val="%1."/>
      <w:lvlJc w:val="left"/>
    </w:lvl>
  </w:abstractNum>
  <w:num w:numId="1">
    <w:abstractNumId w:val="1"/>
  </w:num>
  <w:num w:numId="2">
    <w:abstractNumId w:val="7"/>
  </w:num>
  <w:num w:numId="3">
    <w:abstractNumId w:val="2"/>
  </w:num>
  <w:num w:numId="4">
    <w:abstractNumId w:val="3"/>
  </w:num>
  <w:num w:numId="5">
    <w:abstractNumId w:val="6"/>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1OTQ5YjFjNzY4MDlhNzkzYzljNWZmYTJkY2Q3MWMifQ=="/>
  </w:docVars>
  <w:rsids>
    <w:rsidRoot w:val="004E213F"/>
    <w:rsid w:val="00002B6B"/>
    <w:rsid w:val="00012EBD"/>
    <w:rsid w:val="00013126"/>
    <w:rsid w:val="000152ED"/>
    <w:rsid w:val="00015352"/>
    <w:rsid w:val="00020B35"/>
    <w:rsid w:val="0002338E"/>
    <w:rsid w:val="00023532"/>
    <w:rsid w:val="000236EA"/>
    <w:rsid w:val="00026142"/>
    <w:rsid w:val="00027EA0"/>
    <w:rsid w:val="00030698"/>
    <w:rsid w:val="000363F7"/>
    <w:rsid w:val="000403F8"/>
    <w:rsid w:val="00042BB0"/>
    <w:rsid w:val="000469C2"/>
    <w:rsid w:val="000470C8"/>
    <w:rsid w:val="00056D9D"/>
    <w:rsid w:val="000579AD"/>
    <w:rsid w:val="000645C6"/>
    <w:rsid w:val="00064FAB"/>
    <w:rsid w:val="00072872"/>
    <w:rsid w:val="00072CD5"/>
    <w:rsid w:val="00074DE5"/>
    <w:rsid w:val="00082038"/>
    <w:rsid w:val="000836FD"/>
    <w:rsid w:val="00093AE8"/>
    <w:rsid w:val="00096200"/>
    <w:rsid w:val="000A1094"/>
    <w:rsid w:val="000A16F9"/>
    <w:rsid w:val="000A5256"/>
    <w:rsid w:val="000B0E6B"/>
    <w:rsid w:val="000B29C3"/>
    <w:rsid w:val="000B5D5C"/>
    <w:rsid w:val="000C3EEE"/>
    <w:rsid w:val="000D4E0F"/>
    <w:rsid w:val="000D70E7"/>
    <w:rsid w:val="000E046D"/>
    <w:rsid w:val="000E054B"/>
    <w:rsid w:val="000E10EF"/>
    <w:rsid w:val="000E69EA"/>
    <w:rsid w:val="000E7E3E"/>
    <w:rsid w:val="000F036B"/>
    <w:rsid w:val="00101919"/>
    <w:rsid w:val="00106F75"/>
    <w:rsid w:val="001119C2"/>
    <w:rsid w:val="001129D5"/>
    <w:rsid w:val="00122730"/>
    <w:rsid w:val="0013259F"/>
    <w:rsid w:val="00134384"/>
    <w:rsid w:val="00134B94"/>
    <w:rsid w:val="00134C10"/>
    <w:rsid w:val="00136BB5"/>
    <w:rsid w:val="00140E16"/>
    <w:rsid w:val="0014708A"/>
    <w:rsid w:val="001619FF"/>
    <w:rsid w:val="00162CAB"/>
    <w:rsid w:val="001666C9"/>
    <w:rsid w:val="00172174"/>
    <w:rsid w:val="00173EE2"/>
    <w:rsid w:val="001753E5"/>
    <w:rsid w:val="001778FF"/>
    <w:rsid w:val="00190F69"/>
    <w:rsid w:val="00193F05"/>
    <w:rsid w:val="00194433"/>
    <w:rsid w:val="0019707E"/>
    <w:rsid w:val="001B18BB"/>
    <w:rsid w:val="001B4C12"/>
    <w:rsid w:val="001B4D14"/>
    <w:rsid w:val="001B5AD7"/>
    <w:rsid w:val="001C1F1A"/>
    <w:rsid w:val="001C37CE"/>
    <w:rsid w:val="001C40E3"/>
    <w:rsid w:val="001D2C8C"/>
    <w:rsid w:val="001D4168"/>
    <w:rsid w:val="001D4679"/>
    <w:rsid w:val="001D6D91"/>
    <w:rsid w:val="001E52CC"/>
    <w:rsid w:val="001E66C1"/>
    <w:rsid w:val="001F10F4"/>
    <w:rsid w:val="001F35BE"/>
    <w:rsid w:val="001F40A1"/>
    <w:rsid w:val="001F438A"/>
    <w:rsid w:val="00212A3B"/>
    <w:rsid w:val="00214923"/>
    <w:rsid w:val="0021588E"/>
    <w:rsid w:val="00220A5C"/>
    <w:rsid w:val="00222AB1"/>
    <w:rsid w:val="00227FEB"/>
    <w:rsid w:val="002331CF"/>
    <w:rsid w:val="00243C56"/>
    <w:rsid w:val="0025580F"/>
    <w:rsid w:val="002566F2"/>
    <w:rsid w:val="00267708"/>
    <w:rsid w:val="002760B7"/>
    <w:rsid w:val="00277135"/>
    <w:rsid w:val="002924C5"/>
    <w:rsid w:val="00294A4B"/>
    <w:rsid w:val="00295864"/>
    <w:rsid w:val="002A0AC0"/>
    <w:rsid w:val="002A5060"/>
    <w:rsid w:val="002B4767"/>
    <w:rsid w:val="002B484B"/>
    <w:rsid w:val="002C0BA7"/>
    <w:rsid w:val="002C334B"/>
    <w:rsid w:val="002C33D4"/>
    <w:rsid w:val="002D152B"/>
    <w:rsid w:val="002E128A"/>
    <w:rsid w:val="002F75D8"/>
    <w:rsid w:val="0030185E"/>
    <w:rsid w:val="00305B0F"/>
    <w:rsid w:val="003061C4"/>
    <w:rsid w:val="00313443"/>
    <w:rsid w:val="00313D2C"/>
    <w:rsid w:val="0032284E"/>
    <w:rsid w:val="00323642"/>
    <w:rsid w:val="00333564"/>
    <w:rsid w:val="003368F1"/>
    <w:rsid w:val="003423E9"/>
    <w:rsid w:val="00342B7A"/>
    <w:rsid w:val="00344CFF"/>
    <w:rsid w:val="00344E33"/>
    <w:rsid w:val="00344F01"/>
    <w:rsid w:val="00345B2B"/>
    <w:rsid w:val="00346FB4"/>
    <w:rsid w:val="003514CE"/>
    <w:rsid w:val="00351E81"/>
    <w:rsid w:val="00354E6A"/>
    <w:rsid w:val="00355716"/>
    <w:rsid w:val="0037191F"/>
    <w:rsid w:val="00373AAB"/>
    <w:rsid w:val="0038222B"/>
    <w:rsid w:val="00383331"/>
    <w:rsid w:val="0038422D"/>
    <w:rsid w:val="00396733"/>
    <w:rsid w:val="003A4211"/>
    <w:rsid w:val="003A7261"/>
    <w:rsid w:val="003B6784"/>
    <w:rsid w:val="003C513C"/>
    <w:rsid w:val="003D1EFB"/>
    <w:rsid w:val="003D549C"/>
    <w:rsid w:val="003D74EB"/>
    <w:rsid w:val="003E7265"/>
    <w:rsid w:val="0040278C"/>
    <w:rsid w:val="00402B81"/>
    <w:rsid w:val="00410E00"/>
    <w:rsid w:val="00416813"/>
    <w:rsid w:val="00416864"/>
    <w:rsid w:val="00427FC1"/>
    <w:rsid w:val="00432E0E"/>
    <w:rsid w:val="00445C9F"/>
    <w:rsid w:val="004572D9"/>
    <w:rsid w:val="00460560"/>
    <w:rsid w:val="00465057"/>
    <w:rsid w:val="00476A53"/>
    <w:rsid w:val="00481098"/>
    <w:rsid w:val="00487B28"/>
    <w:rsid w:val="004972A1"/>
    <w:rsid w:val="004A2435"/>
    <w:rsid w:val="004A4621"/>
    <w:rsid w:val="004B240C"/>
    <w:rsid w:val="004C4F69"/>
    <w:rsid w:val="004C7A0C"/>
    <w:rsid w:val="004D34FF"/>
    <w:rsid w:val="004D52A9"/>
    <w:rsid w:val="004E213F"/>
    <w:rsid w:val="004E27FB"/>
    <w:rsid w:val="004E43B2"/>
    <w:rsid w:val="004E493F"/>
    <w:rsid w:val="005039D7"/>
    <w:rsid w:val="005076F6"/>
    <w:rsid w:val="00512382"/>
    <w:rsid w:val="00515587"/>
    <w:rsid w:val="00515884"/>
    <w:rsid w:val="00524F9D"/>
    <w:rsid w:val="00525A55"/>
    <w:rsid w:val="00527614"/>
    <w:rsid w:val="00527AA4"/>
    <w:rsid w:val="00533220"/>
    <w:rsid w:val="00533474"/>
    <w:rsid w:val="00536608"/>
    <w:rsid w:val="005420A9"/>
    <w:rsid w:val="00546A4F"/>
    <w:rsid w:val="0054768D"/>
    <w:rsid w:val="00557ADA"/>
    <w:rsid w:val="00562832"/>
    <w:rsid w:val="005636F9"/>
    <w:rsid w:val="00564E3F"/>
    <w:rsid w:val="0056603E"/>
    <w:rsid w:val="0056660D"/>
    <w:rsid w:val="00572164"/>
    <w:rsid w:val="005723E4"/>
    <w:rsid w:val="00573806"/>
    <w:rsid w:val="00574201"/>
    <w:rsid w:val="00575D03"/>
    <w:rsid w:val="00575E86"/>
    <w:rsid w:val="005906D5"/>
    <w:rsid w:val="005A3F2D"/>
    <w:rsid w:val="005A5F67"/>
    <w:rsid w:val="005A6A3D"/>
    <w:rsid w:val="005A757B"/>
    <w:rsid w:val="005B23E5"/>
    <w:rsid w:val="005B2A75"/>
    <w:rsid w:val="005B5B42"/>
    <w:rsid w:val="005B6600"/>
    <w:rsid w:val="005C15E5"/>
    <w:rsid w:val="005C4361"/>
    <w:rsid w:val="005C562B"/>
    <w:rsid w:val="005D0B7F"/>
    <w:rsid w:val="005D5182"/>
    <w:rsid w:val="005E5C6A"/>
    <w:rsid w:val="005E673A"/>
    <w:rsid w:val="005F32EF"/>
    <w:rsid w:val="00604050"/>
    <w:rsid w:val="00606D14"/>
    <w:rsid w:val="00606EF3"/>
    <w:rsid w:val="00616779"/>
    <w:rsid w:val="00617F5E"/>
    <w:rsid w:val="00620182"/>
    <w:rsid w:val="00626961"/>
    <w:rsid w:val="0063606C"/>
    <w:rsid w:val="00640666"/>
    <w:rsid w:val="006507B0"/>
    <w:rsid w:val="00650D65"/>
    <w:rsid w:val="00652475"/>
    <w:rsid w:val="00656687"/>
    <w:rsid w:val="00656BEC"/>
    <w:rsid w:val="006632C0"/>
    <w:rsid w:val="006656EA"/>
    <w:rsid w:val="00665C0D"/>
    <w:rsid w:val="00666FD0"/>
    <w:rsid w:val="006701C8"/>
    <w:rsid w:val="0067054F"/>
    <w:rsid w:val="006722DD"/>
    <w:rsid w:val="0067351B"/>
    <w:rsid w:val="00675D52"/>
    <w:rsid w:val="0068109E"/>
    <w:rsid w:val="00681C0B"/>
    <w:rsid w:val="006903A0"/>
    <w:rsid w:val="00693092"/>
    <w:rsid w:val="006969E7"/>
    <w:rsid w:val="006A0D42"/>
    <w:rsid w:val="006A402D"/>
    <w:rsid w:val="006A5D23"/>
    <w:rsid w:val="006B079F"/>
    <w:rsid w:val="006B2E03"/>
    <w:rsid w:val="006C00D2"/>
    <w:rsid w:val="006C0258"/>
    <w:rsid w:val="006C26AD"/>
    <w:rsid w:val="006C3795"/>
    <w:rsid w:val="006C51FB"/>
    <w:rsid w:val="006D013C"/>
    <w:rsid w:val="006D406A"/>
    <w:rsid w:val="006D644F"/>
    <w:rsid w:val="006E33CC"/>
    <w:rsid w:val="006E4D44"/>
    <w:rsid w:val="006F04CB"/>
    <w:rsid w:val="006F20F0"/>
    <w:rsid w:val="006F2BCD"/>
    <w:rsid w:val="006F6456"/>
    <w:rsid w:val="006F65B8"/>
    <w:rsid w:val="00706FD1"/>
    <w:rsid w:val="00711AC1"/>
    <w:rsid w:val="00715906"/>
    <w:rsid w:val="00715A6A"/>
    <w:rsid w:val="00716205"/>
    <w:rsid w:val="007165A4"/>
    <w:rsid w:val="00721A59"/>
    <w:rsid w:val="00726955"/>
    <w:rsid w:val="00735437"/>
    <w:rsid w:val="00741D93"/>
    <w:rsid w:val="007471AD"/>
    <w:rsid w:val="00747614"/>
    <w:rsid w:val="00751F04"/>
    <w:rsid w:val="00754894"/>
    <w:rsid w:val="00760627"/>
    <w:rsid w:val="007616DE"/>
    <w:rsid w:val="00763AEA"/>
    <w:rsid w:val="007654B7"/>
    <w:rsid w:val="00771210"/>
    <w:rsid w:val="00773D87"/>
    <w:rsid w:val="00777BE4"/>
    <w:rsid w:val="00783890"/>
    <w:rsid w:val="007877CA"/>
    <w:rsid w:val="0079084B"/>
    <w:rsid w:val="0079129B"/>
    <w:rsid w:val="00791B88"/>
    <w:rsid w:val="0079208C"/>
    <w:rsid w:val="0079402D"/>
    <w:rsid w:val="007A4C3A"/>
    <w:rsid w:val="007A7CB3"/>
    <w:rsid w:val="007A7DC2"/>
    <w:rsid w:val="007A7E37"/>
    <w:rsid w:val="007B1DA8"/>
    <w:rsid w:val="007B3067"/>
    <w:rsid w:val="007B70FA"/>
    <w:rsid w:val="007C0A80"/>
    <w:rsid w:val="007C0D74"/>
    <w:rsid w:val="007C1646"/>
    <w:rsid w:val="007D2D17"/>
    <w:rsid w:val="007D3024"/>
    <w:rsid w:val="007D747D"/>
    <w:rsid w:val="007E09F4"/>
    <w:rsid w:val="007E55E7"/>
    <w:rsid w:val="007E5B1F"/>
    <w:rsid w:val="007E6220"/>
    <w:rsid w:val="007F2EBC"/>
    <w:rsid w:val="007F6534"/>
    <w:rsid w:val="00805420"/>
    <w:rsid w:val="00810397"/>
    <w:rsid w:val="008124AB"/>
    <w:rsid w:val="00814B10"/>
    <w:rsid w:val="00827D19"/>
    <w:rsid w:val="00827F17"/>
    <w:rsid w:val="00832720"/>
    <w:rsid w:val="0083484A"/>
    <w:rsid w:val="00835833"/>
    <w:rsid w:val="008358FD"/>
    <w:rsid w:val="00837DE4"/>
    <w:rsid w:val="008415D7"/>
    <w:rsid w:val="00843AD0"/>
    <w:rsid w:val="00850314"/>
    <w:rsid w:val="00850FF7"/>
    <w:rsid w:val="008511CB"/>
    <w:rsid w:val="00853CBB"/>
    <w:rsid w:val="00854450"/>
    <w:rsid w:val="00854600"/>
    <w:rsid w:val="0085778D"/>
    <w:rsid w:val="00866D56"/>
    <w:rsid w:val="0086702D"/>
    <w:rsid w:val="008741E7"/>
    <w:rsid w:val="00885496"/>
    <w:rsid w:val="008874E6"/>
    <w:rsid w:val="00890CD3"/>
    <w:rsid w:val="008A41B6"/>
    <w:rsid w:val="008A5E86"/>
    <w:rsid w:val="008B18D1"/>
    <w:rsid w:val="008B2823"/>
    <w:rsid w:val="008B5A45"/>
    <w:rsid w:val="008C5A13"/>
    <w:rsid w:val="008C65A9"/>
    <w:rsid w:val="008D06BF"/>
    <w:rsid w:val="008D079B"/>
    <w:rsid w:val="008D449F"/>
    <w:rsid w:val="008D4A38"/>
    <w:rsid w:val="008D4A70"/>
    <w:rsid w:val="008D7546"/>
    <w:rsid w:val="008E0563"/>
    <w:rsid w:val="008E3C4F"/>
    <w:rsid w:val="008E47FD"/>
    <w:rsid w:val="008F0DEE"/>
    <w:rsid w:val="008F3342"/>
    <w:rsid w:val="009068FD"/>
    <w:rsid w:val="00914862"/>
    <w:rsid w:val="00923BEA"/>
    <w:rsid w:val="009241D4"/>
    <w:rsid w:val="009302F6"/>
    <w:rsid w:val="009314BB"/>
    <w:rsid w:val="00935965"/>
    <w:rsid w:val="00936DB9"/>
    <w:rsid w:val="009370A6"/>
    <w:rsid w:val="00942DDA"/>
    <w:rsid w:val="00943E65"/>
    <w:rsid w:val="00947B89"/>
    <w:rsid w:val="00961350"/>
    <w:rsid w:val="00964188"/>
    <w:rsid w:val="00970F2B"/>
    <w:rsid w:val="009745D7"/>
    <w:rsid w:val="00976D02"/>
    <w:rsid w:val="009839D2"/>
    <w:rsid w:val="0098428C"/>
    <w:rsid w:val="00986339"/>
    <w:rsid w:val="00986ADC"/>
    <w:rsid w:val="009906F3"/>
    <w:rsid w:val="0099183E"/>
    <w:rsid w:val="00991A73"/>
    <w:rsid w:val="00991AFD"/>
    <w:rsid w:val="009A3DCB"/>
    <w:rsid w:val="009A58FF"/>
    <w:rsid w:val="009B0635"/>
    <w:rsid w:val="009B0934"/>
    <w:rsid w:val="009B2CAE"/>
    <w:rsid w:val="009C7A42"/>
    <w:rsid w:val="009F3848"/>
    <w:rsid w:val="009F4B08"/>
    <w:rsid w:val="00A04064"/>
    <w:rsid w:val="00A103A2"/>
    <w:rsid w:val="00A1437D"/>
    <w:rsid w:val="00A21BBD"/>
    <w:rsid w:val="00A22800"/>
    <w:rsid w:val="00A2335C"/>
    <w:rsid w:val="00A25D17"/>
    <w:rsid w:val="00A34811"/>
    <w:rsid w:val="00A35049"/>
    <w:rsid w:val="00A35EDA"/>
    <w:rsid w:val="00A40B18"/>
    <w:rsid w:val="00A62B1C"/>
    <w:rsid w:val="00A67D87"/>
    <w:rsid w:val="00A8003F"/>
    <w:rsid w:val="00A906EE"/>
    <w:rsid w:val="00A90950"/>
    <w:rsid w:val="00A96C16"/>
    <w:rsid w:val="00A974A7"/>
    <w:rsid w:val="00AB01BD"/>
    <w:rsid w:val="00AB4890"/>
    <w:rsid w:val="00AC34A8"/>
    <w:rsid w:val="00AC39DF"/>
    <w:rsid w:val="00AC539E"/>
    <w:rsid w:val="00AD263C"/>
    <w:rsid w:val="00AD3090"/>
    <w:rsid w:val="00AD4945"/>
    <w:rsid w:val="00AD63B6"/>
    <w:rsid w:val="00AD7A67"/>
    <w:rsid w:val="00AE21D0"/>
    <w:rsid w:val="00AE50B8"/>
    <w:rsid w:val="00AE6EA2"/>
    <w:rsid w:val="00AE7708"/>
    <w:rsid w:val="00AE773C"/>
    <w:rsid w:val="00AF5835"/>
    <w:rsid w:val="00AF6997"/>
    <w:rsid w:val="00B00D81"/>
    <w:rsid w:val="00B01535"/>
    <w:rsid w:val="00B042D8"/>
    <w:rsid w:val="00B04A06"/>
    <w:rsid w:val="00B1015D"/>
    <w:rsid w:val="00B11BAB"/>
    <w:rsid w:val="00B24CE0"/>
    <w:rsid w:val="00B25F24"/>
    <w:rsid w:val="00B3137F"/>
    <w:rsid w:val="00B43375"/>
    <w:rsid w:val="00B44BC5"/>
    <w:rsid w:val="00B50755"/>
    <w:rsid w:val="00B61E7B"/>
    <w:rsid w:val="00B65C40"/>
    <w:rsid w:val="00B65EBB"/>
    <w:rsid w:val="00B70F60"/>
    <w:rsid w:val="00B73E2B"/>
    <w:rsid w:val="00B817FE"/>
    <w:rsid w:val="00B83B3D"/>
    <w:rsid w:val="00B864A7"/>
    <w:rsid w:val="00B87771"/>
    <w:rsid w:val="00B97119"/>
    <w:rsid w:val="00B978E2"/>
    <w:rsid w:val="00BA00C8"/>
    <w:rsid w:val="00BA0810"/>
    <w:rsid w:val="00BA164C"/>
    <w:rsid w:val="00BA21E4"/>
    <w:rsid w:val="00BA26A2"/>
    <w:rsid w:val="00BA43F9"/>
    <w:rsid w:val="00BA7D28"/>
    <w:rsid w:val="00BB6199"/>
    <w:rsid w:val="00BC5B87"/>
    <w:rsid w:val="00BC766E"/>
    <w:rsid w:val="00BC7A1A"/>
    <w:rsid w:val="00BC7B80"/>
    <w:rsid w:val="00BD2182"/>
    <w:rsid w:val="00BE7C61"/>
    <w:rsid w:val="00BF5781"/>
    <w:rsid w:val="00C06F15"/>
    <w:rsid w:val="00C07CCF"/>
    <w:rsid w:val="00C20CC0"/>
    <w:rsid w:val="00C21F47"/>
    <w:rsid w:val="00C2461E"/>
    <w:rsid w:val="00C26026"/>
    <w:rsid w:val="00C3015E"/>
    <w:rsid w:val="00C322CF"/>
    <w:rsid w:val="00C3513C"/>
    <w:rsid w:val="00C36C8F"/>
    <w:rsid w:val="00C421B5"/>
    <w:rsid w:val="00C431FC"/>
    <w:rsid w:val="00C523D0"/>
    <w:rsid w:val="00C53486"/>
    <w:rsid w:val="00C70F8F"/>
    <w:rsid w:val="00C712CD"/>
    <w:rsid w:val="00C80F6C"/>
    <w:rsid w:val="00C812E4"/>
    <w:rsid w:val="00C9077F"/>
    <w:rsid w:val="00C941A8"/>
    <w:rsid w:val="00C960E2"/>
    <w:rsid w:val="00C97A4F"/>
    <w:rsid w:val="00CA22FB"/>
    <w:rsid w:val="00CA5B9F"/>
    <w:rsid w:val="00CB4806"/>
    <w:rsid w:val="00CC094E"/>
    <w:rsid w:val="00CC1B4F"/>
    <w:rsid w:val="00CC254B"/>
    <w:rsid w:val="00CC2F86"/>
    <w:rsid w:val="00CD417E"/>
    <w:rsid w:val="00CD7103"/>
    <w:rsid w:val="00CE493D"/>
    <w:rsid w:val="00CE79D5"/>
    <w:rsid w:val="00CF3E3E"/>
    <w:rsid w:val="00D02161"/>
    <w:rsid w:val="00D04605"/>
    <w:rsid w:val="00D101D4"/>
    <w:rsid w:val="00D11B4A"/>
    <w:rsid w:val="00D13795"/>
    <w:rsid w:val="00D26EBF"/>
    <w:rsid w:val="00D273C6"/>
    <w:rsid w:val="00D27AE2"/>
    <w:rsid w:val="00D314BC"/>
    <w:rsid w:val="00D31B66"/>
    <w:rsid w:val="00D31C63"/>
    <w:rsid w:val="00D35A5D"/>
    <w:rsid w:val="00D36A39"/>
    <w:rsid w:val="00D371B4"/>
    <w:rsid w:val="00D374D0"/>
    <w:rsid w:val="00D37927"/>
    <w:rsid w:val="00D4194E"/>
    <w:rsid w:val="00D4454A"/>
    <w:rsid w:val="00D47977"/>
    <w:rsid w:val="00D561F1"/>
    <w:rsid w:val="00D61019"/>
    <w:rsid w:val="00D61EB7"/>
    <w:rsid w:val="00D620F7"/>
    <w:rsid w:val="00D62958"/>
    <w:rsid w:val="00D65774"/>
    <w:rsid w:val="00D80A00"/>
    <w:rsid w:val="00D80C00"/>
    <w:rsid w:val="00D811E3"/>
    <w:rsid w:val="00D829EA"/>
    <w:rsid w:val="00D873DD"/>
    <w:rsid w:val="00DA0A84"/>
    <w:rsid w:val="00DA3B39"/>
    <w:rsid w:val="00DA4007"/>
    <w:rsid w:val="00DB0ED7"/>
    <w:rsid w:val="00DB0FED"/>
    <w:rsid w:val="00DB254F"/>
    <w:rsid w:val="00DB5F2E"/>
    <w:rsid w:val="00DC07DC"/>
    <w:rsid w:val="00DC19A2"/>
    <w:rsid w:val="00DC2D4D"/>
    <w:rsid w:val="00DC6CB9"/>
    <w:rsid w:val="00DC7E23"/>
    <w:rsid w:val="00DD21D7"/>
    <w:rsid w:val="00DD53CF"/>
    <w:rsid w:val="00DE0FAE"/>
    <w:rsid w:val="00DE511E"/>
    <w:rsid w:val="00E00053"/>
    <w:rsid w:val="00E026FD"/>
    <w:rsid w:val="00E02F7E"/>
    <w:rsid w:val="00E07EF2"/>
    <w:rsid w:val="00E1448F"/>
    <w:rsid w:val="00E152F1"/>
    <w:rsid w:val="00E17645"/>
    <w:rsid w:val="00E20266"/>
    <w:rsid w:val="00E2129A"/>
    <w:rsid w:val="00E22EA6"/>
    <w:rsid w:val="00E33E9A"/>
    <w:rsid w:val="00E34519"/>
    <w:rsid w:val="00E353A2"/>
    <w:rsid w:val="00E35C9A"/>
    <w:rsid w:val="00E405B9"/>
    <w:rsid w:val="00E41FE9"/>
    <w:rsid w:val="00E52DBD"/>
    <w:rsid w:val="00E55FF8"/>
    <w:rsid w:val="00E5641C"/>
    <w:rsid w:val="00E56E21"/>
    <w:rsid w:val="00E65CFC"/>
    <w:rsid w:val="00E65D1F"/>
    <w:rsid w:val="00E710F8"/>
    <w:rsid w:val="00E71CF3"/>
    <w:rsid w:val="00E72427"/>
    <w:rsid w:val="00E73B65"/>
    <w:rsid w:val="00E75E80"/>
    <w:rsid w:val="00E81BA2"/>
    <w:rsid w:val="00E81C78"/>
    <w:rsid w:val="00E8286F"/>
    <w:rsid w:val="00E836F7"/>
    <w:rsid w:val="00E84B15"/>
    <w:rsid w:val="00E962D0"/>
    <w:rsid w:val="00E9645E"/>
    <w:rsid w:val="00E969F1"/>
    <w:rsid w:val="00EA152B"/>
    <w:rsid w:val="00EA40BF"/>
    <w:rsid w:val="00EA7106"/>
    <w:rsid w:val="00EB45D4"/>
    <w:rsid w:val="00EC2FE7"/>
    <w:rsid w:val="00EC77A5"/>
    <w:rsid w:val="00ED6D46"/>
    <w:rsid w:val="00ED71F7"/>
    <w:rsid w:val="00EE2517"/>
    <w:rsid w:val="00EE7996"/>
    <w:rsid w:val="00EF4DA9"/>
    <w:rsid w:val="00F01527"/>
    <w:rsid w:val="00F06A8A"/>
    <w:rsid w:val="00F07123"/>
    <w:rsid w:val="00F078B2"/>
    <w:rsid w:val="00F131DC"/>
    <w:rsid w:val="00F144EA"/>
    <w:rsid w:val="00F25EB7"/>
    <w:rsid w:val="00F30968"/>
    <w:rsid w:val="00F36C6F"/>
    <w:rsid w:val="00F4049E"/>
    <w:rsid w:val="00F43CE1"/>
    <w:rsid w:val="00F502FF"/>
    <w:rsid w:val="00F5262B"/>
    <w:rsid w:val="00F527E9"/>
    <w:rsid w:val="00F536A8"/>
    <w:rsid w:val="00F54A84"/>
    <w:rsid w:val="00F55640"/>
    <w:rsid w:val="00F57ECE"/>
    <w:rsid w:val="00F612CA"/>
    <w:rsid w:val="00F67E52"/>
    <w:rsid w:val="00F77163"/>
    <w:rsid w:val="00F80514"/>
    <w:rsid w:val="00F81D57"/>
    <w:rsid w:val="00F8220F"/>
    <w:rsid w:val="00F839C8"/>
    <w:rsid w:val="00F84247"/>
    <w:rsid w:val="00F84A94"/>
    <w:rsid w:val="00F928D8"/>
    <w:rsid w:val="00F93755"/>
    <w:rsid w:val="00FA54A7"/>
    <w:rsid w:val="00FA54F1"/>
    <w:rsid w:val="00FA7386"/>
    <w:rsid w:val="00FA73B7"/>
    <w:rsid w:val="00FC02C2"/>
    <w:rsid w:val="00FC479E"/>
    <w:rsid w:val="00FC7DAE"/>
    <w:rsid w:val="00FD2E29"/>
    <w:rsid w:val="00FD41DC"/>
    <w:rsid w:val="00FE000F"/>
    <w:rsid w:val="00FE0699"/>
    <w:rsid w:val="00FE1A3F"/>
    <w:rsid w:val="00FE225A"/>
    <w:rsid w:val="00FE3760"/>
    <w:rsid w:val="00FE3883"/>
    <w:rsid w:val="00FF0F2F"/>
    <w:rsid w:val="00FF6B77"/>
    <w:rsid w:val="01AF01B8"/>
    <w:rsid w:val="021F20DD"/>
    <w:rsid w:val="02463305"/>
    <w:rsid w:val="028F25BE"/>
    <w:rsid w:val="03431F67"/>
    <w:rsid w:val="035B71FF"/>
    <w:rsid w:val="043B5660"/>
    <w:rsid w:val="04581298"/>
    <w:rsid w:val="045B52FD"/>
    <w:rsid w:val="046C2DD6"/>
    <w:rsid w:val="04F14FC6"/>
    <w:rsid w:val="05052D3C"/>
    <w:rsid w:val="05AC5E24"/>
    <w:rsid w:val="070C646B"/>
    <w:rsid w:val="07D6223C"/>
    <w:rsid w:val="07D770C4"/>
    <w:rsid w:val="07EB78A5"/>
    <w:rsid w:val="08B84ACC"/>
    <w:rsid w:val="08F40088"/>
    <w:rsid w:val="090A136C"/>
    <w:rsid w:val="095D6BD7"/>
    <w:rsid w:val="096A48D6"/>
    <w:rsid w:val="0B436CAA"/>
    <w:rsid w:val="0BA54B25"/>
    <w:rsid w:val="0CA527CF"/>
    <w:rsid w:val="0CDB2282"/>
    <w:rsid w:val="0CE15BE1"/>
    <w:rsid w:val="0CFB6623"/>
    <w:rsid w:val="0DFA0C20"/>
    <w:rsid w:val="0E5B0CC6"/>
    <w:rsid w:val="0ED2420F"/>
    <w:rsid w:val="0F697E1D"/>
    <w:rsid w:val="0FB233F8"/>
    <w:rsid w:val="0FBA6E40"/>
    <w:rsid w:val="100658D9"/>
    <w:rsid w:val="10183082"/>
    <w:rsid w:val="102B7992"/>
    <w:rsid w:val="103E2B3A"/>
    <w:rsid w:val="104D13D7"/>
    <w:rsid w:val="106A3906"/>
    <w:rsid w:val="109C6640"/>
    <w:rsid w:val="113403E1"/>
    <w:rsid w:val="11A654C9"/>
    <w:rsid w:val="11EB284B"/>
    <w:rsid w:val="12074DCC"/>
    <w:rsid w:val="12B70BBB"/>
    <w:rsid w:val="14600C47"/>
    <w:rsid w:val="151A19FA"/>
    <w:rsid w:val="159F205F"/>
    <w:rsid w:val="15AC65F9"/>
    <w:rsid w:val="16A61FF6"/>
    <w:rsid w:val="171F61BB"/>
    <w:rsid w:val="1723033B"/>
    <w:rsid w:val="17626721"/>
    <w:rsid w:val="184C193E"/>
    <w:rsid w:val="18BE1109"/>
    <w:rsid w:val="18D86F25"/>
    <w:rsid w:val="1990114D"/>
    <w:rsid w:val="199B650B"/>
    <w:rsid w:val="1A3246CA"/>
    <w:rsid w:val="1A560DFA"/>
    <w:rsid w:val="1A732F49"/>
    <w:rsid w:val="1B302F55"/>
    <w:rsid w:val="1BC765DF"/>
    <w:rsid w:val="1C836B7C"/>
    <w:rsid w:val="1D3A7D4E"/>
    <w:rsid w:val="1D72785F"/>
    <w:rsid w:val="1E5225FF"/>
    <w:rsid w:val="1EDE7A04"/>
    <w:rsid w:val="1EED7879"/>
    <w:rsid w:val="1F361703"/>
    <w:rsid w:val="1F5C335C"/>
    <w:rsid w:val="214A626B"/>
    <w:rsid w:val="21513F1F"/>
    <w:rsid w:val="21CC2B45"/>
    <w:rsid w:val="22351BA6"/>
    <w:rsid w:val="228A6DCD"/>
    <w:rsid w:val="22E44B35"/>
    <w:rsid w:val="23C20DD9"/>
    <w:rsid w:val="23F91702"/>
    <w:rsid w:val="23FC4836"/>
    <w:rsid w:val="251129DC"/>
    <w:rsid w:val="25664BAC"/>
    <w:rsid w:val="25B42CA8"/>
    <w:rsid w:val="26287F7C"/>
    <w:rsid w:val="26304150"/>
    <w:rsid w:val="26436521"/>
    <w:rsid w:val="264C191C"/>
    <w:rsid w:val="26872877"/>
    <w:rsid w:val="26940E46"/>
    <w:rsid w:val="27604167"/>
    <w:rsid w:val="27F01D48"/>
    <w:rsid w:val="283A7ADF"/>
    <w:rsid w:val="28E94900"/>
    <w:rsid w:val="291173A8"/>
    <w:rsid w:val="29793B79"/>
    <w:rsid w:val="29D32514"/>
    <w:rsid w:val="29DF2CC3"/>
    <w:rsid w:val="2A363DAC"/>
    <w:rsid w:val="2C7036E8"/>
    <w:rsid w:val="2CE41904"/>
    <w:rsid w:val="2D483BB8"/>
    <w:rsid w:val="2D806F63"/>
    <w:rsid w:val="2DEE4565"/>
    <w:rsid w:val="2DEF5AC1"/>
    <w:rsid w:val="2DF553DD"/>
    <w:rsid w:val="2F046116"/>
    <w:rsid w:val="2F4A22BB"/>
    <w:rsid w:val="2FA546AD"/>
    <w:rsid w:val="3068046B"/>
    <w:rsid w:val="31321F5F"/>
    <w:rsid w:val="313644F1"/>
    <w:rsid w:val="31A14473"/>
    <w:rsid w:val="31FA3186"/>
    <w:rsid w:val="321C78EB"/>
    <w:rsid w:val="32631887"/>
    <w:rsid w:val="329E48B9"/>
    <w:rsid w:val="33052468"/>
    <w:rsid w:val="33496B25"/>
    <w:rsid w:val="33D81574"/>
    <w:rsid w:val="33DF314D"/>
    <w:rsid w:val="33EA5BD2"/>
    <w:rsid w:val="34826E7D"/>
    <w:rsid w:val="34FE04AD"/>
    <w:rsid w:val="353749EF"/>
    <w:rsid w:val="35C9639D"/>
    <w:rsid w:val="35D817EB"/>
    <w:rsid w:val="35E9649D"/>
    <w:rsid w:val="35F32B66"/>
    <w:rsid w:val="36330748"/>
    <w:rsid w:val="363C0BB3"/>
    <w:rsid w:val="36450BE7"/>
    <w:rsid w:val="36626C56"/>
    <w:rsid w:val="367E5410"/>
    <w:rsid w:val="368279F8"/>
    <w:rsid w:val="36A37579"/>
    <w:rsid w:val="36B538EA"/>
    <w:rsid w:val="36EF116B"/>
    <w:rsid w:val="37CA3E53"/>
    <w:rsid w:val="386F7985"/>
    <w:rsid w:val="39143EF1"/>
    <w:rsid w:val="39562604"/>
    <w:rsid w:val="395A0102"/>
    <w:rsid w:val="396A5AE1"/>
    <w:rsid w:val="399B638D"/>
    <w:rsid w:val="39B8426A"/>
    <w:rsid w:val="3A702E82"/>
    <w:rsid w:val="3AC26018"/>
    <w:rsid w:val="3AED5C5D"/>
    <w:rsid w:val="3AF37B66"/>
    <w:rsid w:val="3BE525E0"/>
    <w:rsid w:val="3CB109D0"/>
    <w:rsid w:val="3D0924FD"/>
    <w:rsid w:val="3D65578A"/>
    <w:rsid w:val="3DA75047"/>
    <w:rsid w:val="3DDC33FF"/>
    <w:rsid w:val="3E001221"/>
    <w:rsid w:val="3E0A6C81"/>
    <w:rsid w:val="3E0C1E9B"/>
    <w:rsid w:val="3E846C23"/>
    <w:rsid w:val="3EDD057D"/>
    <w:rsid w:val="3EE767DF"/>
    <w:rsid w:val="3EF175FE"/>
    <w:rsid w:val="3F913593"/>
    <w:rsid w:val="3FB85276"/>
    <w:rsid w:val="3FF118E3"/>
    <w:rsid w:val="3FFC2F4A"/>
    <w:rsid w:val="40940F90"/>
    <w:rsid w:val="40B249FF"/>
    <w:rsid w:val="40F70667"/>
    <w:rsid w:val="414D669D"/>
    <w:rsid w:val="420116DD"/>
    <w:rsid w:val="420349B8"/>
    <w:rsid w:val="428E54C6"/>
    <w:rsid w:val="42C12884"/>
    <w:rsid w:val="43FD2445"/>
    <w:rsid w:val="44D36D61"/>
    <w:rsid w:val="45056225"/>
    <w:rsid w:val="45227549"/>
    <w:rsid w:val="45744F27"/>
    <w:rsid w:val="465F077B"/>
    <w:rsid w:val="478604B1"/>
    <w:rsid w:val="47937609"/>
    <w:rsid w:val="47A40416"/>
    <w:rsid w:val="47C66870"/>
    <w:rsid w:val="47F67061"/>
    <w:rsid w:val="485B34CD"/>
    <w:rsid w:val="48683BF9"/>
    <w:rsid w:val="4A4F5A42"/>
    <w:rsid w:val="4A77586D"/>
    <w:rsid w:val="4AD601E3"/>
    <w:rsid w:val="4C897D14"/>
    <w:rsid w:val="4D3B1D65"/>
    <w:rsid w:val="4D950B44"/>
    <w:rsid w:val="4DE860EE"/>
    <w:rsid w:val="4DF8114A"/>
    <w:rsid w:val="4E0C5452"/>
    <w:rsid w:val="4EB8258D"/>
    <w:rsid w:val="4ECA053E"/>
    <w:rsid w:val="4EEF28A8"/>
    <w:rsid w:val="4F2E0CBD"/>
    <w:rsid w:val="4F513CC6"/>
    <w:rsid w:val="4FA35B81"/>
    <w:rsid w:val="4FE31490"/>
    <w:rsid w:val="50156B04"/>
    <w:rsid w:val="50857C6E"/>
    <w:rsid w:val="50916202"/>
    <w:rsid w:val="50EE5394"/>
    <w:rsid w:val="514B181D"/>
    <w:rsid w:val="523C1897"/>
    <w:rsid w:val="532D3D51"/>
    <w:rsid w:val="533271B7"/>
    <w:rsid w:val="53863FCC"/>
    <w:rsid w:val="53FD0DBF"/>
    <w:rsid w:val="541961E9"/>
    <w:rsid w:val="5496798A"/>
    <w:rsid w:val="552E7163"/>
    <w:rsid w:val="55F96B94"/>
    <w:rsid w:val="56317BB4"/>
    <w:rsid w:val="56850D7C"/>
    <w:rsid w:val="56DF792A"/>
    <w:rsid w:val="570A6116"/>
    <w:rsid w:val="573A074B"/>
    <w:rsid w:val="57923B32"/>
    <w:rsid w:val="57C6566B"/>
    <w:rsid w:val="58196892"/>
    <w:rsid w:val="58386A9F"/>
    <w:rsid w:val="5871244D"/>
    <w:rsid w:val="59DF34D7"/>
    <w:rsid w:val="5B243362"/>
    <w:rsid w:val="5B697233"/>
    <w:rsid w:val="5B762DE2"/>
    <w:rsid w:val="5CF73872"/>
    <w:rsid w:val="5CFA0561"/>
    <w:rsid w:val="5D7D659C"/>
    <w:rsid w:val="5D92149D"/>
    <w:rsid w:val="5E436DB6"/>
    <w:rsid w:val="5F9F5D51"/>
    <w:rsid w:val="60F65E35"/>
    <w:rsid w:val="612E2EBF"/>
    <w:rsid w:val="61546993"/>
    <w:rsid w:val="61CE7426"/>
    <w:rsid w:val="61DC035F"/>
    <w:rsid w:val="61E53B0E"/>
    <w:rsid w:val="622E423F"/>
    <w:rsid w:val="6240082A"/>
    <w:rsid w:val="62487121"/>
    <w:rsid w:val="624D59CF"/>
    <w:rsid w:val="626369F7"/>
    <w:rsid w:val="62CD5238"/>
    <w:rsid w:val="62D373E3"/>
    <w:rsid w:val="63612322"/>
    <w:rsid w:val="63B06B7E"/>
    <w:rsid w:val="646E3818"/>
    <w:rsid w:val="64F027C6"/>
    <w:rsid w:val="65863B22"/>
    <w:rsid w:val="65E16732"/>
    <w:rsid w:val="66664874"/>
    <w:rsid w:val="66804769"/>
    <w:rsid w:val="66A80B55"/>
    <w:rsid w:val="66EA060B"/>
    <w:rsid w:val="677869D7"/>
    <w:rsid w:val="679F62C2"/>
    <w:rsid w:val="67F56D1B"/>
    <w:rsid w:val="683D18DA"/>
    <w:rsid w:val="68BB3CC9"/>
    <w:rsid w:val="68E275C7"/>
    <w:rsid w:val="68E625D4"/>
    <w:rsid w:val="6A163590"/>
    <w:rsid w:val="6A9A6460"/>
    <w:rsid w:val="6B176EDE"/>
    <w:rsid w:val="6B200BE5"/>
    <w:rsid w:val="6B663334"/>
    <w:rsid w:val="6B8A6057"/>
    <w:rsid w:val="6C0946F0"/>
    <w:rsid w:val="6D003B6F"/>
    <w:rsid w:val="6D354706"/>
    <w:rsid w:val="6D50725A"/>
    <w:rsid w:val="6D680F15"/>
    <w:rsid w:val="6D772804"/>
    <w:rsid w:val="6E716F16"/>
    <w:rsid w:val="6EA52101"/>
    <w:rsid w:val="6EDB690A"/>
    <w:rsid w:val="6EE81000"/>
    <w:rsid w:val="70EE1C39"/>
    <w:rsid w:val="71506D25"/>
    <w:rsid w:val="718B1329"/>
    <w:rsid w:val="71EF3014"/>
    <w:rsid w:val="723C3FAF"/>
    <w:rsid w:val="728C3C13"/>
    <w:rsid w:val="747E45B8"/>
    <w:rsid w:val="754F07E6"/>
    <w:rsid w:val="759B20B6"/>
    <w:rsid w:val="75BF326A"/>
    <w:rsid w:val="763A6488"/>
    <w:rsid w:val="764E7820"/>
    <w:rsid w:val="76A47761"/>
    <w:rsid w:val="775859E5"/>
    <w:rsid w:val="77A71FD5"/>
    <w:rsid w:val="77C82108"/>
    <w:rsid w:val="78980C11"/>
    <w:rsid w:val="78DE5F7B"/>
    <w:rsid w:val="78F22139"/>
    <w:rsid w:val="78FB7C1F"/>
    <w:rsid w:val="79A80ACF"/>
    <w:rsid w:val="79AF4773"/>
    <w:rsid w:val="79E7377C"/>
    <w:rsid w:val="79EB1329"/>
    <w:rsid w:val="7A2270DF"/>
    <w:rsid w:val="7A686E93"/>
    <w:rsid w:val="7AF215B4"/>
    <w:rsid w:val="7BA74C3C"/>
    <w:rsid w:val="7BB578D2"/>
    <w:rsid w:val="7C29438A"/>
    <w:rsid w:val="7C503F01"/>
    <w:rsid w:val="7C5458A0"/>
    <w:rsid w:val="7CE419B6"/>
    <w:rsid w:val="7D0636D7"/>
    <w:rsid w:val="7E4B1C4F"/>
    <w:rsid w:val="7E861A0E"/>
    <w:rsid w:val="7EC51833"/>
    <w:rsid w:val="7EF24F11"/>
    <w:rsid w:val="7FEF04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autoRedefine/>
    <w:qFormat/>
    <w:uiPriority w:val="0"/>
    <w:pPr>
      <w:keepNext/>
      <w:keepLines/>
      <w:tabs>
        <w:tab w:val="left" w:pos="432"/>
      </w:tabs>
      <w:spacing w:before="50" w:beforeLines="50" w:after="50" w:afterLines="50"/>
      <w:ind w:left="431" w:hanging="431"/>
      <w:outlineLvl w:val="0"/>
    </w:pPr>
    <w:rPr>
      <w:b/>
      <w:bCs/>
      <w:kern w:val="44"/>
      <w:sz w:val="32"/>
      <w:szCs w:val="44"/>
    </w:rPr>
  </w:style>
  <w:style w:type="paragraph" w:styleId="3">
    <w:name w:val="heading 2"/>
    <w:basedOn w:val="1"/>
    <w:next w:val="1"/>
    <w:link w:val="48"/>
    <w:autoRedefine/>
    <w:qFormat/>
    <w:uiPriority w:val="0"/>
    <w:pPr>
      <w:keepNext/>
      <w:keepLines/>
      <w:tabs>
        <w:tab w:val="left" w:pos="576"/>
      </w:tabs>
      <w:spacing w:before="260" w:after="260" w:line="413" w:lineRule="auto"/>
      <w:ind w:left="576" w:hanging="576"/>
      <w:outlineLvl w:val="1"/>
    </w:pPr>
    <w:rPr>
      <w:rFonts w:ascii="Arial" w:hAnsi="Arial" w:eastAsia="黑体"/>
      <w:b/>
      <w:bCs/>
      <w:sz w:val="32"/>
      <w:szCs w:val="32"/>
    </w:rPr>
  </w:style>
  <w:style w:type="paragraph" w:styleId="4">
    <w:name w:val="heading 3"/>
    <w:basedOn w:val="1"/>
    <w:next w:val="1"/>
    <w:link w:val="58"/>
    <w:autoRedefine/>
    <w:qFormat/>
    <w:uiPriority w:val="0"/>
    <w:pPr>
      <w:keepNext/>
      <w:keepLines/>
      <w:tabs>
        <w:tab w:val="left" w:pos="720"/>
      </w:tabs>
      <w:spacing w:before="260" w:after="260" w:line="413" w:lineRule="auto"/>
      <w:ind w:left="720" w:hanging="720"/>
      <w:outlineLvl w:val="2"/>
    </w:pPr>
    <w:rPr>
      <w:b/>
      <w:bCs/>
      <w:sz w:val="32"/>
      <w:szCs w:val="32"/>
    </w:rPr>
  </w:style>
  <w:style w:type="paragraph" w:styleId="5">
    <w:name w:val="heading 4"/>
    <w:basedOn w:val="1"/>
    <w:next w:val="1"/>
    <w:link w:val="60"/>
    <w:autoRedefine/>
    <w:qFormat/>
    <w:uiPriority w:val="0"/>
    <w:pPr>
      <w:keepNext/>
      <w:keepLines/>
      <w:tabs>
        <w:tab w:val="left" w:pos="864"/>
      </w:tabs>
      <w:spacing w:before="280" w:after="290" w:line="372" w:lineRule="auto"/>
      <w:ind w:left="864" w:hanging="864"/>
      <w:outlineLvl w:val="3"/>
    </w:pPr>
    <w:rPr>
      <w:rFonts w:ascii="Arial" w:hAnsi="Arial" w:eastAsia="黑体"/>
      <w:b/>
      <w:bCs/>
      <w:sz w:val="28"/>
      <w:szCs w:val="28"/>
    </w:rPr>
  </w:style>
  <w:style w:type="paragraph" w:styleId="6">
    <w:name w:val="heading 5"/>
    <w:basedOn w:val="1"/>
    <w:next w:val="1"/>
    <w:link w:val="46"/>
    <w:autoRedefine/>
    <w:qFormat/>
    <w:uiPriority w:val="0"/>
    <w:pPr>
      <w:keepNext/>
      <w:keepLines/>
      <w:tabs>
        <w:tab w:val="left" w:pos="1008"/>
      </w:tabs>
      <w:spacing w:before="280" w:after="290" w:line="372" w:lineRule="auto"/>
      <w:ind w:left="1008" w:hanging="1008"/>
      <w:outlineLvl w:val="4"/>
    </w:pPr>
    <w:rPr>
      <w:b/>
      <w:bCs/>
      <w:sz w:val="28"/>
      <w:szCs w:val="28"/>
    </w:rPr>
  </w:style>
  <w:style w:type="paragraph" w:styleId="7">
    <w:name w:val="heading 6"/>
    <w:basedOn w:val="1"/>
    <w:next w:val="1"/>
    <w:link w:val="50"/>
    <w:autoRedefine/>
    <w:qFormat/>
    <w:uiPriority w:val="0"/>
    <w:pPr>
      <w:keepNext/>
      <w:keepLines/>
      <w:tabs>
        <w:tab w:val="left" w:pos="1152"/>
      </w:tabs>
      <w:spacing w:before="240" w:after="64" w:line="317" w:lineRule="auto"/>
      <w:ind w:left="1152" w:hanging="1152"/>
      <w:outlineLvl w:val="5"/>
    </w:pPr>
    <w:rPr>
      <w:rFonts w:ascii="Arial" w:hAnsi="Arial" w:eastAsia="黑体"/>
      <w:b/>
      <w:bCs/>
      <w:sz w:val="24"/>
    </w:rPr>
  </w:style>
  <w:style w:type="paragraph" w:styleId="8">
    <w:name w:val="heading 7"/>
    <w:basedOn w:val="1"/>
    <w:next w:val="1"/>
    <w:link w:val="56"/>
    <w:autoRedefine/>
    <w:qFormat/>
    <w:uiPriority w:val="0"/>
    <w:pPr>
      <w:keepNext/>
      <w:keepLines/>
      <w:tabs>
        <w:tab w:val="left" w:pos="1296"/>
      </w:tabs>
      <w:spacing w:before="240" w:after="64" w:line="317" w:lineRule="auto"/>
      <w:ind w:left="1296" w:hanging="1296"/>
      <w:outlineLvl w:val="6"/>
    </w:pPr>
    <w:rPr>
      <w:b/>
      <w:bCs/>
      <w:sz w:val="24"/>
    </w:rPr>
  </w:style>
  <w:style w:type="paragraph" w:styleId="9">
    <w:name w:val="heading 8"/>
    <w:basedOn w:val="1"/>
    <w:next w:val="1"/>
    <w:link w:val="54"/>
    <w:autoRedefine/>
    <w:qFormat/>
    <w:uiPriority w:val="0"/>
    <w:pPr>
      <w:keepNext/>
      <w:keepLines/>
      <w:tabs>
        <w:tab w:val="left" w:pos="1440"/>
      </w:tabs>
      <w:spacing w:before="240" w:after="64" w:line="317" w:lineRule="auto"/>
      <w:ind w:left="1440" w:hanging="1440"/>
      <w:outlineLvl w:val="7"/>
    </w:pPr>
    <w:rPr>
      <w:rFonts w:ascii="Arial" w:hAnsi="Arial" w:eastAsia="黑体"/>
      <w:sz w:val="24"/>
    </w:rPr>
  </w:style>
  <w:style w:type="paragraph" w:styleId="10">
    <w:name w:val="heading 9"/>
    <w:basedOn w:val="1"/>
    <w:next w:val="1"/>
    <w:link w:val="49"/>
    <w:autoRedefine/>
    <w:qFormat/>
    <w:uiPriority w:val="0"/>
    <w:pPr>
      <w:keepNext/>
      <w:keepLines/>
      <w:tabs>
        <w:tab w:val="left" w:pos="1584"/>
      </w:tabs>
      <w:spacing w:before="240" w:after="64" w:line="317" w:lineRule="auto"/>
      <w:ind w:left="1584" w:hanging="1584"/>
      <w:outlineLvl w:val="8"/>
    </w:pPr>
    <w:rPr>
      <w:rFonts w:ascii="Arial" w:hAnsi="Arial" w:eastAsia="黑体"/>
      <w:szCs w:val="21"/>
    </w:rPr>
  </w:style>
  <w:style w:type="character" w:default="1" w:styleId="34">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jc w:val="left"/>
    </w:pPr>
    <w:rPr>
      <w:sz w:val="18"/>
      <w:szCs w:val="18"/>
    </w:rPr>
  </w:style>
  <w:style w:type="paragraph" w:styleId="12">
    <w:name w:val="annotation text"/>
    <w:basedOn w:val="1"/>
    <w:link w:val="43"/>
    <w:autoRedefine/>
    <w:qFormat/>
    <w:uiPriority w:val="0"/>
    <w:pPr>
      <w:jc w:val="left"/>
    </w:pPr>
  </w:style>
  <w:style w:type="paragraph" w:styleId="13">
    <w:name w:val="Body Text"/>
    <w:basedOn w:val="1"/>
    <w:link w:val="42"/>
    <w:autoRedefine/>
    <w:unhideWhenUsed/>
    <w:qFormat/>
    <w:uiPriority w:val="0"/>
    <w:pPr>
      <w:spacing w:after="120"/>
    </w:pPr>
  </w:style>
  <w:style w:type="paragraph" w:styleId="14">
    <w:name w:val="Body Text Indent"/>
    <w:basedOn w:val="1"/>
    <w:link w:val="45"/>
    <w:autoRedefine/>
    <w:qFormat/>
    <w:uiPriority w:val="0"/>
    <w:pPr>
      <w:snapToGrid w:val="0"/>
      <w:spacing w:before="50" w:line="360" w:lineRule="auto"/>
      <w:ind w:left="640" w:leftChars="305"/>
    </w:pPr>
    <w:rPr>
      <w:rFonts w:ascii="宋体" w:hAnsi="宋体"/>
      <w:color w:val="FF0000"/>
      <w:sz w:val="24"/>
    </w:rPr>
  </w:style>
  <w:style w:type="paragraph" w:styleId="15">
    <w:name w:val="toc 5"/>
    <w:basedOn w:val="1"/>
    <w:next w:val="1"/>
    <w:autoRedefine/>
    <w:qFormat/>
    <w:uiPriority w:val="0"/>
    <w:pPr>
      <w:ind w:left="840"/>
      <w:jc w:val="left"/>
    </w:pPr>
    <w:rPr>
      <w:sz w:val="18"/>
      <w:szCs w:val="18"/>
    </w:rPr>
  </w:style>
  <w:style w:type="paragraph" w:styleId="16">
    <w:name w:val="toc 3"/>
    <w:basedOn w:val="1"/>
    <w:next w:val="1"/>
    <w:autoRedefine/>
    <w:qFormat/>
    <w:uiPriority w:val="39"/>
    <w:pPr>
      <w:ind w:left="420"/>
      <w:jc w:val="left"/>
    </w:pPr>
    <w:rPr>
      <w:i/>
      <w:iCs/>
      <w:sz w:val="20"/>
      <w:szCs w:val="20"/>
    </w:rPr>
  </w:style>
  <w:style w:type="paragraph" w:styleId="17">
    <w:name w:val="Plain Text"/>
    <w:basedOn w:val="1"/>
    <w:link w:val="41"/>
    <w:autoRedefine/>
    <w:qFormat/>
    <w:uiPriority w:val="0"/>
    <w:rPr>
      <w:rFonts w:ascii="宋体" w:hAnsi="Courier New" w:cs="Courier New"/>
      <w:szCs w:val="21"/>
    </w:rPr>
  </w:style>
  <w:style w:type="paragraph" w:styleId="18">
    <w:name w:val="toc 8"/>
    <w:basedOn w:val="1"/>
    <w:next w:val="1"/>
    <w:autoRedefine/>
    <w:qFormat/>
    <w:uiPriority w:val="0"/>
    <w:pPr>
      <w:ind w:left="1470"/>
      <w:jc w:val="left"/>
    </w:pPr>
    <w:rPr>
      <w:sz w:val="18"/>
      <w:szCs w:val="18"/>
    </w:rPr>
  </w:style>
  <w:style w:type="paragraph" w:styleId="19">
    <w:name w:val="Date"/>
    <w:basedOn w:val="1"/>
    <w:next w:val="1"/>
    <w:link w:val="53"/>
    <w:autoRedefine/>
    <w:qFormat/>
    <w:uiPriority w:val="0"/>
    <w:rPr>
      <w:spacing w:val="22"/>
      <w:sz w:val="28"/>
    </w:rPr>
  </w:style>
  <w:style w:type="paragraph" w:styleId="20">
    <w:name w:val="Body Text Indent 2"/>
    <w:basedOn w:val="1"/>
    <w:link w:val="47"/>
    <w:autoRedefine/>
    <w:qFormat/>
    <w:uiPriority w:val="0"/>
    <w:pPr>
      <w:snapToGrid w:val="0"/>
      <w:ind w:left="567"/>
    </w:pPr>
    <w:rPr>
      <w:sz w:val="24"/>
    </w:rPr>
  </w:style>
  <w:style w:type="paragraph" w:styleId="21">
    <w:name w:val="Balloon Text"/>
    <w:basedOn w:val="1"/>
    <w:link w:val="61"/>
    <w:autoRedefine/>
    <w:qFormat/>
    <w:uiPriority w:val="0"/>
    <w:rPr>
      <w:sz w:val="18"/>
      <w:szCs w:val="18"/>
    </w:rPr>
  </w:style>
  <w:style w:type="paragraph" w:styleId="22">
    <w:name w:val="footer"/>
    <w:basedOn w:val="1"/>
    <w:link w:val="57"/>
    <w:autoRedefine/>
    <w:qFormat/>
    <w:uiPriority w:val="0"/>
    <w:pPr>
      <w:tabs>
        <w:tab w:val="center" w:pos="4153"/>
        <w:tab w:val="right" w:pos="8306"/>
      </w:tabs>
      <w:snapToGrid w:val="0"/>
      <w:jc w:val="left"/>
    </w:pPr>
    <w:rPr>
      <w:sz w:val="18"/>
      <w:szCs w:val="18"/>
    </w:rPr>
  </w:style>
  <w:style w:type="paragraph" w:styleId="23">
    <w:name w:val="header"/>
    <w:basedOn w:val="1"/>
    <w:link w:val="59"/>
    <w:autoRedefine/>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pPr>
      <w:tabs>
        <w:tab w:val="left" w:pos="320"/>
        <w:tab w:val="right" w:leader="dot" w:pos="9060"/>
      </w:tabs>
      <w:spacing w:line="360" w:lineRule="auto"/>
      <w:jc w:val="left"/>
    </w:pPr>
    <w:rPr>
      <w:bCs/>
      <w:caps/>
      <w:sz w:val="24"/>
    </w:rPr>
  </w:style>
  <w:style w:type="paragraph" w:styleId="25">
    <w:name w:val="toc 4"/>
    <w:basedOn w:val="1"/>
    <w:next w:val="1"/>
    <w:autoRedefine/>
    <w:qFormat/>
    <w:uiPriority w:val="0"/>
    <w:pPr>
      <w:ind w:left="630"/>
      <w:jc w:val="left"/>
    </w:pPr>
    <w:rPr>
      <w:sz w:val="18"/>
      <w:szCs w:val="18"/>
    </w:rPr>
  </w:style>
  <w:style w:type="paragraph" w:styleId="26">
    <w:name w:val="toc 6"/>
    <w:basedOn w:val="1"/>
    <w:next w:val="1"/>
    <w:autoRedefine/>
    <w:qFormat/>
    <w:uiPriority w:val="0"/>
    <w:pPr>
      <w:ind w:left="1050"/>
      <w:jc w:val="left"/>
    </w:pPr>
    <w:rPr>
      <w:sz w:val="18"/>
      <w:szCs w:val="18"/>
    </w:rPr>
  </w:style>
  <w:style w:type="paragraph" w:styleId="27">
    <w:name w:val="Body Text Indent 3"/>
    <w:basedOn w:val="1"/>
    <w:link w:val="52"/>
    <w:autoRedefine/>
    <w:qFormat/>
    <w:uiPriority w:val="0"/>
    <w:pPr>
      <w:spacing w:beforeLines="50" w:line="240" w:lineRule="atLeast"/>
      <w:ind w:left="1" w:firstLine="480" w:firstLineChars="200"/>
    </w:pPr>
    <w:rPr>
      <w:rFonts w:ascii="宋体" w:hAnsi="宋体"/>
      <w:sz w:val="24"/>
    </w:rPr>
  </w:style>
  <w:style w:type="paragraph" w:styleId="28">
    <w:name w:val="toc 2"/>
    <w:basedOn w:val="1"/>
    <w:next w:val="1"/>
    <w:autoRedefine/>
    <w:qFormat/>
    <w:uiPriority w:val="0"/>
    <w:pPr>
      <w:ind w:left="210"/>
      <w:jc w:val="left"/>
    </w:pPr>
    <w:rPr>
      <w:smallCaps/>
      <w:sz w:val="20"/>
      <w:szCs w:val="20"/>
    </w:rPr>
  </w:style>
  <w:style w:type="paragraph" w:styleId="29">
    <w:name w:val="toc 9"/>
    <w:basedOn w:val="1"/>
    <w:next w:val="1"/>
    <w:autoRedefine/>
    <w:qFormat/>
    <w:uiPriority w:val="0"/>
    <w:pPr>
      <w:ind w:left="1680"/>
      <w:jc w:val="left"/>
    </w:pPr>
    <w:rPr>
      <w:sz w:val="18"/>
      <w:szCs w:val="18"/>
    </w:rPr>
  </w:style>
  <w:style w:type="paragraph" w:styleId="30">
    <w:name w:val="Normal (Web)"/>
    <w:basedOn w:val="1"/>
    <w:autoRedefine/>
    <w:unhideWhenUsed/>
    <w:qFormat/>
    <w:uiPriority w:val="99"/>
    <w:rPr>
      <w:sz w:val="24"/>
    </w:rPr>
  </w:style>
  <w:style w:type="paragraph" w:styleId="31">
    <w:name w:val="annotation subject"/>
    <w:basedOn w:val="12"/>
    <w:next w:val="12"/>
    <w:link w:val="51"/>
    <w:autoRedefine/>
    <w:qFormat/>
    <w:uiPriority w:val="0"/>
    <w:rPr>
      <w:b/>
      <w:bCs/>
    </w:rPr>
  </w:style>
  <w:style w:type="paragraph" w:styleId="32">
    <w:name w:val="Body Text First Indent"/>
    <w:basedOn w:val="13"/>
    <w:link w:val="55"/>
    <w:autoRedefine/>
    <w:qFormat/>
    <w:uiPriority w:val="0"/>
    <w:pPr>
      <w:ind w:firstLine="420" w:firstLineChars="100"/>
    </w:pPr>
  </w:style>
  <w:style w:type="character" w:styleId="35">
    <w:name w:val="Strong"/>
    <w:autoRedefine/>
    <w:qFormat/>
    <w:uiPriority w:val="0"/>
    <w:rPr>
      <w:b/>
      <w:bCs/>
    </w:rPr>
  </w:style>
  <w:style w:type="character" w:styleId="36">
    <w:name w:val="page number"/>
    <w:basedOn w:val="34"/>
    <w:autoRedefine/>
    <w:qFormat/>
    <w:uiPriority w:val="0"/>
  </w:style>
  <w:style w:type="character" w:styleId="37">
    <w:name w:val="FollowedHyperlink"/>
    <w:basedOn w:val="34"/>
    <w:autoRedefine/>
    <w:semiHidden/>
    <w:unhideWhenUsed/>
    <w:qFormat/>
    <w:uiPriority w:val="99"/>
    <w:rPr>
      <w:color w:val="000000"/>
      <w:u w:val="none"/>
    </w:rPr>
  </w:style>
  <w:style w:type="character" w:styleId="38">
    <w:name w:val="Hyperlink"/>
    <w:basedOn w:val="34"/>
    <w:autoRedefine/>
    <w:qFormat/>
    <w:uiPriority w:val="99"/>
    <w:rPr>
      <w:color w:val="000000"/>
      <w:u w:val="none"/>
    </w:rPr>
  </w:style>
  <w:style w:type="character" w:styleId="39">
    <w:name w:val="HTML Code"/>
    <w:basedOn w:val="34"/>
    <w:autoRedefine/>
    <w:semiHidden/>
    <w:unhideWhenUsed/>
    <w:qFormat/>
    <w:uiPriority w:val="99"/>
    <w:rPr>
      <w:rFonts w:ascii="Courier New" w:hAnsi="Courier New"/>
      <w:sz w:val="20"/>
    </w:rPr>
  </w:style>
  <w:style w:type="character" w:styleId="40">
    <w:name w:val="annotation reference"/>
    <w:autoRedefine/>
    <w:qFormat/>
    <w:uiPriority w:val="0"/>
    <w:rPr>
      <w:sz w:val="21"/>
      <w:szCs w:val="21"/>
    </w:rPr>
  </w:style>
  <w:style w:type="character" w:customStyle="1" w:styleId="41">
    <w:name w:val="纯文本 字符"/>
    <w:link w:val="17"/>
    <w:autoRedefine/>
    <w:qFormat/>
    <w:uiPriority w:val="0"/>
    <w:rPr>
      <w:rFonts w:ascii="宋体" w:hAnsi="Courier New" w:eastAsia="宋体" w:cs="Courier New"/>
      <w:szCs w:val="21"/>
    </w:rPr>
  </w:style>
  <w:style w:type="character" w:customStyle="1" w:styleId="42">
    <w:name w:val="正文文本 字符"/>
    <w:link w:val="13"/>
    <w:autoRedefine/>
    <w:semiHidden/>
    <w:qFormat/>
    <w:uiPriority w:val="99"/>
    <w:rPr>
      <w:rFonts w:ascii="Times New Roman" w:hAnsi="Times New Roman" w:eastAsia="宋体" w:cs="Times New Roman"/>
      <w:szCs w:val="24"/>
    </w:rPr>
  </w:style>
  <w:style w:type="character" w:customStyle="1" w:styleId="43">
    <w:name w:val="批注文字 字符"/>
    <w:link w:val="12"/>
    <w:autoRedefine/>
    <w:qFormat/>
    <w:uiPriority w:val="0"/>
    <w:rPr>
      <w:rFonts w:ascii="Times New Roman" w:hAnsi="Times New Roman" w:eastAsia="宋体" w:cs="Times New Roman"/>
      <w:szCs w:val="24"/>
    </w:rPr>
  </w:style>
  <w:style w:type="character" w:customStyle="1" w:styleId="44">
    <w:name w:val="标题 1 字符"/>
    <w:link w:val="2"/>
    <w:autoRedefine/>
    <w:qFormat/>
    <w:uiPriority w:val="0"/>
    <w:rPr>
      <w:rFonts w:ascii="Times New Roman" w:hAnsi="Times New Roman" w:cs="Times New Roman"/>
      <w:b/>
      <w:bCs/>
      <w:kern w:val="44"/>
      <w:sz w:val="32"/>
      <w:szCs w:val="44"/>
    </w:rPr>
  </w:style>
  <w:style w:type="character" w:customStyle="1" w:styleId="45">
    <w:name w:val="正文文本缩进 字符"/>
    <w:link w:val="14"/>
    <w:autoRedefine/>
    <w:qFormat/>
    <w:uiPriority w:val="0"/>
    <w:rPr>
      <w:rFonts w:ascii="宋体" w:hAnsi="宋体" w:eastAsia="宋体" w:cs="Times New Roman"/>
      <w:color w:val="FF0000"/>
      <w:sz w:val="24"/>
      <w:szCs w:val="24"/>
    </w:rPr>
  </w:style>
  <w:style w:type="character" w:customStyle="1" w:styleId="46">
    <w:name w:val="标题 5 字符"/>
    <w:link w:val="6"/>
    <w:autoRedefine/>
    <w:qFormat/>
    <w:uiPriority w:val="0"/>
    <w:rPr>
      <w:rFonts w:ascii="Times New Roman" w:hAnsi="Times New Roman" w:eastAsia="宋体" w:cs="Times New Roman"/>
      <w:b/>
      <w:bCs/>
      <w:sz w:val="28"/>
      <w:szCs w:val="28"/>
    </w:rPr>
  </w:style>
  <w:style w:type="character" w:customStyle="1" w:styleId="47">
    <w:name w:val="正文文本缩进 2 字符"/>
    <w:link w:val="20"/>
    <w:autoRedefine/>
    <w:qFormat/>
    <w:uiPriority w:val="0"/>
    <w:rPr>
      <w:rFonts w:ascii="Times New Roman" w:hAnsi="Times New Roman" w:eastAsia="宋体" w:cs="Times New Roman"/>
      <w:sz w:val="24"/>
      <w:szCs w:val="24"/>
    </w:rPr>
  </w:style>
  <w:style w:type="character" w:customStyle="1" w:styleId="48">
    <w:name w:val="标题 2 字符"/>
    <w:link w:val="3"/>
    <w:autoRedefine/>
    <w:qFormat/>
    <w:uiPriority w:val="0"/>
    <w:rPr>
      <w:rFonts w:ascii="Arial" w:hAnsi="Arial" w:eastAsia="黑体" w:cs="Times New Roman"/>
      <w:b/>
      <w:bCs/>
      <w:sz w:val="32"/>
      <w:szCs w:val="32"/>
    </w:rPr>
  </w:style>
  <w:style w:type="character" w:customStyle="1" w:styleId="49">
    <w:name w:val="标题 9 字符"/>
    <w:link w:val="10"/>
    <w:autoRedefine/>
    <w:qFormat/>
    <w:uiPriority w:val="0"/>
    <w:rPr>
      <w:rFonts w:ascii="Arial" w:hAnsi="Arial" w:eastAsia="黑体" w:cs="Times New Roman"/>
      <w:szCs w:val="21"/>
    </w:rPr>
  </w:style>
  <w:style w:type="character" w:customStyle="1" w:styleId="50">
    <w:name w:val="标题 6 字符"/>
    <w:link w:val="7"/>
    <w:autoRedefine/>
    <w:qFormat/>
    <w:uiPriority w:val="0"/>
    <w:rPr>
      <w:rFonts w:ascii="Arial" w:hAnsi="Arial" w:eastAsia="黑体" w:cs="Times New Roman"/>
      <w:b/>
      <w:bCs/>
      <w:sz w:val="24"/>
      <w:szCs w:val="24"/>
    </w:rPr>
  </w:style>
  <w:style w:type="character" w:customStyle="1" w:styleId="51">
    <w:name w:val="批注主题 字符"/>
    <w:link w:val="31"/>
    <w:autoRedefine/>
    <w:qFormat/>
    <w:uiPriority w:val="0"/>
    <w:rPr>
      <w:rFonts w:ascii="Times New Roman" w:hAnsi="Times New Roman" w:eastAsia="宋体" w:cs="Times New Roman"/>
      <w:b/>
      <w:bCs/>
      <w:szCs w:val="24"/>
    </w:rPr>
  </w:style>
  <w:style w:type="character" w:customStyle="1" w:styleId="52">
    <w:name w:val="正文文本缩进 3 字符"/>
    <w:link w:val="27"/>
    <w:autoRedefine/>
    <w:qFormat/>
    <w:uiPriority w:val="0"/>
    <w:rPr>
      <w:rFonts w:ascii="宋体" w:hAnsi="宋体" w:eastAsia="宋体" w:cs="Times New Roman"/>
      <w:sz w:val="24"/>
      <w:szCs w:val="24"/>
    </w:rPr>
  </w:style>
  <w:style w:type="character" w:customStyle="1" w:styleId="53">
    <w:name w:val="日期 字符"/>
    <w:link w:val="19"/>
    <w:autoRedefine/>
    <w:qFormat/>
    <w:uiPriority w:val="0"/>
    <w:rPr>
      <w:rFonts w:ascii="Times New Roman" w:hAnsi="Times New Roman" w:eastAsia="宋体" w:cs="Times New Roman"/>
      <w:spacing w:val="22"/>
      <w:sz w:val="28"/>
      <w:szCs w:val="24"/>
    </w:rPr>
  </w:style>
  <w:style w:type="character" w:customStyle="1" w:styleId="54">
    <w:name w:val="标题 8 字符"/>
    <w:link w:val="9"/>
    <w:autoRedefine/>
    <w:qFormat/>
    <w:uiPriority w:val="0"/>
    <w:rPr>
      <w:rFonts w:ascii="Arial" w:hAnsi="Arial" w:eastAsia="黑体" w:cs="Times New Roman"/>
      <w:sz w:val="24"/>
      <w:szCs w:val="24"/>
    </w:rPr>
  </w:style>
  <w:style w:type="character" w:customStyle="1" w:styleId="55">
    <w:name w:val="正文首行缩进 字符"/>
    <w:link w:val="32"/>
    <w:autoRedefine/>
    <w:qFormat/>
    <w:uiPriority w:val="0"/>
    <w:rPr>
      <w:rFonts w:ascii="Times New Roman" w:hAnsi="Times New Roman" w:eastAsia="宋体" w:cs="Times New Roman"/>
      <w:szCs w:val="24"/>
    </w:rPr>
  </w:style>
  <w:style w:type="character" w:customStyle="1" w:styleId="56">
    <w:name w:val="标题 7 字符"/>
    <w:link w:val="8"/>
    <w:autoRedefine/>
    <w:qFormat/>
    <w:uiPriority w:val="0"/>
    <w:rPr>
      <w:rFonts w:ascii="Times New Roman" w:hAnsi="Times New Roman" w:eastAsia="宋体" w:cs="Times New Roman"/>
      <w:b/>
      <w:bCs/>
      <w:sz w:val="24"/>
      <w:szCs w:val="24"/>
    </w:rPr>
  </w:style>
  <w:style w:type="character" w:customStyle="1" w:styleId="57">
    <w:name w:val="页脚 字符"/>
    <w:link w:val="22"/>
    <w:autoRedefine/>
    <w:qFormat/>
    <w:uiPriority w:val="0"/>
    <w:rPr>
      <w:rFonts w:ascii="Times New Roman" w:hAnsi="Times New Roman" w:eastAsia="宋体" w:cs="Times New Roman"/>
      <w:sz w:val="18"/>
      <w:szCs w:val="18"/>
    </w:rPr>
  </w:style>
  <w:style w:type="character" w:customStyle="1" w:styleId="58">
    <w:name w:val="标题 3 字符"/>
    <w:link w:val="4"/>
    <w:autoRedefine/>
    <w:qFormat/>
    <w:uiPriority w:val="0"/>
    <w:rPr>
      <w:rFonts w:ascii="Times New Roman" w:hAnsi="Times New Roman" w:eastAsia="宋体" w:cs="Times New Roman"/>
      <w:b/>
      <w:bCs/>
      <w:sz w:val="32"/>
      <w:szCs w:val="32"/>
    </w:rPr>
  </w:style>
  <w:style w:type="character" w:customStyle="1" w:styleId="59">
    <w:name w:val="页眉 字符"/>
    <w:link w:val="23"/>
    <w:autoRedefine/>
    <w:qFormat/>
    <w:uiPriority w:val="0"/>
    <w:rPr>
      <w:rFonts w:ascii="Times New Roman" w:hAnsi="Times New Roman" w:eastAsia="宋体" w:cs="Times New Roman"/>
      <w:sz w:val="18"/>
      <w:szCs w:val="18"/>
    </w:rPr>
  </w:style>
  <w:style w:type="character" w:customStyle="1" w:styleId="60">
    <w:name w:val="标题 4 字符"/>
    <w:link w:val="5"/>
    <w:autoRedefine/>
    <w:qFormat/>
    <w:uiPriority w:val="0"/>
    <w:rPr>
      <w:rFonts w:ascii="Arial" w:hAnsi="Arial" w:eastAsia="黑体" w:cs="Times New Roman"/>
      <w:b/>
      <w:bCs/>
      <w:sz w:val="28"/>
      <w:szCs w:val="28"/>
    </w:rPr>
  </w:style>
  <w:style w:type="character" w:customStyle="1" w:styleId="61">
    <w:name w:val="批注框文本 字符"/>
    <w:link w:val="21"/>
    <w:autoRedefine/>
    <w:qFormat/>
    <w:uiPriority w:val="0"/>
    <w:rPr>
      <w:rFonts w:ascii="Times New Roman" w:hAnsi="Times New Roman" w:eastAsia="宋体" w:cs="Times New Roman"/>
      <w:sz w:val="18"/>
      <w:szCs w:val="18"/>
    </w:rPr>
  </w:style>
  <w:style w:type="paragraph" w:customStyle="1" w:styleId="62">
    <w:name w:val="Char Char Char Char Char Char Char Char Char Char Char"/>
    <w:basedOn w:val="1"/>
    <w:autoRedefine/>
    <w:qFormat/>
    <w:uiPriority w:val="0"/>
    <w:rPr>
      <w:rFonts w:ascii="Tahoma" w:hAnsi="Tahoma"/>
      <w:sz w:val="24"/>
      <w:szCs w:val="20"/>
    </w:rPr>
  </w:style>
  <w:style w:type="paragraph" w:customStyle="1" w:styleId="63">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64">
    <w:name w:val="发布令样式"/>
    <w:basedOn w:val="32"/>
    <w:autoRedefine/>
    <w:qFormat/>
    <w:uiPriority w:val="0"/>
    <w:pPr>
      <w:spacing w:after="0" w:line="360" w:lineRule="atLeast"/>
      <w:ind w:firstLine="560" w:firstLineChars="200"/>
      <w:jc w:val="left"/>
      <w:outlineLvl w:val="0"/>
    </w:pPr>
    <w:rPr>
      <w:rFonts w:hint="eastAsia" w:ascii="宋体" w:hAnsi="宋体" w:eastAsia="黑体"/>
      <w:sz w:val="30"/>
      <w:szCs w:val="20"/>
    </w:rPr>
  </w:style>
  <w:style w:type="paragraph" w:customStyle="1" w:styleId="65">
    <w:name w:val="Char Char1 Char Char Char"/>
    <w:basedOn w:val="1"/>
    <w:autoRedefine/>
    <w:qFormat/>
    <w:uiPriority w:val="0"/>
    <w:rPr>
      <w:rFonts w:ascii="Tahoma" w:hAnsi="Tahoma"/>
      <w:sz w:val="24"/>
      <w:szCs w:val="20"/>
    </w:rPr>
  </w:style>
  <w:style w:type="paragraph" w:customStyle="1" w:styleId="66">
    <w:name w:val="表格样式"/>
    <w:basedOn w:val="17"/>
    <w:autoRedefine/>
    <w:qFormat/>
    <w:uiPriority w:val="0"/>
    <w:pPr>
      <w:spacing w:line="340" w:lineRule="exact"/>
    </w:pPr>
    <w:rPr>
      <w:rFonts w:ascii="黑体" w:hAnsi="宋体" w:eastAsia="黑体" w:cs="Times New Roman"/>
      <w:bCs/>
      <w:sz w:val="30"/>
      <w:szCs w:val="20"/>
    </w:rPr>
  </w:style>
  <w:style w:type="paragraph" w:customStyle="1" w:styleId="67">
    <w:name w:val="Char Char"/>
    <w:basedOn w:val="1"/>
    <w:autoRedefine/>
    <w:qFormat/>
    <w:uiPriority w:val="0"/>
    <w:rPr>
      <w:rFonts w:ascii="Tahoma" w:hAnsi="Tahoma"/>
      <w:sz w:val="24"/>
      <w:szCs w:val="20"/>
    </w:rPr>
  </w:style>
  <w:style w:type="paragraph" w:customStyle="1" w:styleId="6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9">
    <w:name w:val="文本框文字"/>
    <w:basedOn w:val="1"/>
    <w:autoRedefine/>
    <w:qFormat/>
    <w:uiPriority w:val="0"/>
    <w:pPr>
      <w:spacing w:before="200" w:line="200" w:lineRule="atLeast"/>
      <w:ind w:firstLine="1047"/>
      <w:jc w:val="left"/>
    </w:pPr>
    <w:rPr>
      <w:rFonts w:hint="eastAsia" w:ascii="宋体" w:hAnsi="宋体"/>
      <w:b/>
      <w:bCs/>
      <w:sz w:val="32"/>
      <w:szCs w:val="32"/>
    </w:rPr>
  </w:style>
  <w:style w:type="paragraph" w:customStyle="1" w:styleId="70">
    <w:name w:val="Char Char Char Char Char Char Char Char Char Char Char Char Char Char Char Char Char"/>
    <w:basedOn w:val="1"/>
    <w:autoRedefine/>
    <w:qFormat/>
    <w:uiPriority w:val="0"/>
    <w:rPr>
      <w:rFonts w:ascii="Tahoma" w:hAnsi="Tahoma"/>
      <w:sz w:val="24"/>
      <w:szCs w:val="20"/>
    </w:rPr>
  </w:style>
  <w:style w:type="paragraph" w:customStyle="1" w:styleId="71">
    <w:name w:val="Char Char Char Char Char Char Char Char"/>
    <w:basedOn w:val="1"/>
    <w:autoRedefine/>
    <w:qFormat/>
    <w:uiPriority w:val="0"/>
    <w:rPr>
      <w:rFonts w:ascii="Tahoma" w:hAnsi="Tahoma"/>
      <w:sz w:val="24"/>
      <w:szCs w:val="20"/>
    </w:rPr>
  </w:style>
  <w:style w:type="paragraph" w:customStyle="1" w:styleId="72">
    <w:name w:val="Char Char Char Char Char"/>
    <w:basedOn w:val="1"/>
    <w:autoRedefine/>
    <w:qFormat/>
    <w:uiPriority w:val="0"/>
    <w:rPr>
      <w:rFonts w:ascii="Tahoma" w:hAnsi="Tahoma"/>
      <w:sz w:val="24"/>
      <w:szCs w:val="20"/>
    </w:rPr>
  </w:style>
  <w:style w:type="paragraph" w:customStyle="1" w:styleId="73">
    <w:name w:val="彩色列表1"/>
    <w:basedOn w:val="1"/>
    <w:autoRedefine/>
    <w:qFormat/>
    <w:uiPriority w:val="0"/>
    <w:pPr>
      <w:ind w:firstLine="420" w:firstLineChars="200"/>
    </w:pPr>
    <w:rPr>
      <w:rFonts w:ascii="Calibri" w:hAnsi="Calibri"/>
      <w:szCs w:val="22"/>
    </w:rPr>
  </w:style>
  <w:style w:type="character" w:customStyle="1" w:styleId="74">
    <w:name w:val="first-child"/>
    <w:basedOn w:val="34"/>
    <w:autoRedefine/>
    <w:qFormat/>
    <w:uiPriority w:val="0"/>
  </w:style>
  <w:style w:type="character" w:customStyle="1" w:styleId="75">
    <w:name w:val="last-child"/>
    <w:basedOn w:val="34"/>
    <w:autoRedefine/>
    <w:qFormat/>
    <w:uiPriority w:val="0"/>
  </w:style>
  <w:style w:type="character" w:customStyle="1" w:styleId="76">
    <w:name w:val="disabled"/>
    <w:basedOn w:val="34"/>
    <w:autoRedefine/>
    <w:qFormat/>
    <w:uiPriority w:val="0"/>
    <w:rPr>
      <w:color w:val="ABABAB"/>
      <w:bdr w:val="single" w:color="C9C9C9" w:sz="4" w:space="0"/>
    </w:rPr>
  </w:style>
  <w:style w:type="character" w:customStyle="1" w:styleId="77">
    <w:name w:val="current"/>
    <w:basedOn w:val="34"/>
    <w:autoRedefine/>
    <w:qFormat/>
    <w:uiPriority w:val="0"/>
    <w:rPr>
      <w:b/>
      <w:color w:val="FFFFFF"/>
      <w:bdr w:val="single" w:color="FF8900" w:sz="4" w:space="0"/>
      <w:shd w:val="clear" w:color="auto" w:fill="FF8900"/>
    </w:rPr>
  </w:style>
  <w:style w:type="paragraph" w:styleId="78">
    <w:name w:val="List Paragraph"/>
    <w:basedOn w:val="1"/>
    <w:autoRedefine/>
    <w:qFormat/>
    <w:uiPriority w:val="99"/>
    <w:pPr>
      <w:ind w:firstLine="420" w:firstLineChars="200"/>
    </w:pPr>
  </w:style>
  <w:style w:type="paragraph" w:customStyle="1" w:styleId="79">
    <w:name w:val="TOC Heading"/>
    <w:basedOn w:val="2"/>
    <w:next w:val="1"/>
    <w:autoRedefine/>
    <w:unhideWhenUsed/>
    <w:qFormat/>
    <w:uiPriority w:val="39"/>
    <w:pPr>
      <w:widowControl/>
      <w:tabs>
        <w:tab w:val="clear" w:pos="432"/>
      </w:tabs>
      <w:spacing w:before="240" w:beforeLines="0" w:after="0" w:afterLines="0" w:line="259" w:lineRule="auto"/>
      <w:ind w:left="0" w:firstLine="0"/>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80">
    <w:name w:val="Table Text"/>
    <w:basedOn w:val="1"/>
    <w:autoRedefine/>
    <w:semiHidden/>
    <w:qFormat/>
    <w:uiPriority w:val="0"/>
    <w:rPr>
      <w:rFonts w:ascii="宋体" w:hAnsi="宋体" w:eastAsia="宋体" w:cs="宋体"/>
      <w:sz w:val="21"/>
      <w:szCs w:val="21"/>
      <w:lang w:val="en-US" w:eastAsia="en-US" w:bidi="ar-SA"/>
    </w:rPr>
  </w:style>
  <w:style w:type="table" w:customStyle="1" w:styleId="81">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3C1CE0-E20E-4BF4-916C-3E3BAEE9BBC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2360</Words>
  <Characters>13452</Characters>
  <Lines>112</Lines>
  <Paragraphs>31</Paragraphs>
  <TotalTime>4</TotalTime>
  <ScaleCrop>false</ScaleCrop>
  <LinksUpToDate>false</LinksUpToDate>
  <CharactersWithSpaces>15781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2020-10-08T08:55:00Z</dcterms:created>
  <dc:creator>ADMINI</dc:creator>
  <cp:lastModifiedBy>Alina</cp:lastModifiedBy>
  <cp:lastPrinted>2019-01-15T01:58:00Z</cp:lastPrinted>
  <dcterms:modified xsi:type="dcterms:W3CDTF">2024-04-22T06:36:26Z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7D1F5A253AC14DDBBB3C27E9D3BCF0C3_13</vt:lpwstr>
  </property>
</Properties>
</file>